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
        <w:rPr>
          <w:rFonts w:ascii="Times New Roman" w:hAnsi="Times New Roman"/>
          <w:sz w:val="24"/>
          <w:szCs w:val="24"/>
        </w:rPr>
      </w:pPr>
      <w:r>
        <w:rPr>
          <w:rFonts w:ascii="Times New Roman" w:hAnsi="Times New Roman"/>
          <w:sz w:val="24"/>
          <w:szCs w:val="24"/>
        </w:rPr>
      </w:r>
    </w:p>
    <w:p>
      <w:pPr>
        <w:pStyle w:val="Cuerpo"/>
        <w:rPr>
          <w:rFonts w:ascii="Times New Roman" w:hAnsi="Times New Roman"/>
          <w:sz w:val="24"/>
          <w:szCs w:val="24"/>
        </w:rPr>
      </w:pPr>
      <w:r>
        <w:rPr>
          <w:rFonts w:ascii="Times New Roman" w:hAnsi="Times New Roman"/>
          <w:sz w:val="24"/>
          <w:szCs w:val="24"/>
        </w:rPr>
      </w:r>
    </w:p>
    <w:p>
      <w:pPr>
        <w:pStyle w:val="NormalWeb"/>
        <w:jc w:val="both"/>
        <w:rPr/>
      </w:pPr>
      <w:r>
        <w:rPr/>
        <w:drawing>
          <wp:anchor behindDoc="0" distT="57150" distB="57150" distL="57150" distR="57150" simplePos="0" locked="0" layoutInCell="1" allowOverlap="1" relativeHeight="2">
            <wp:simplePos x="0" y="0"/>
            <wp:positionH relativeFrom="column">
              <wp:posOffset>-43815</wp:posOffset>
            </wp:positionH>
            <wp:positionV relativeFrom="line">
              <wp:posOffset>118745</wp:posOffset>
            </wp:positionV>
            <wp:extent cx="942975" cy="959485"/>
            <wp:effectExtent l="0" t="0" r="0" b="0"/>
            <wp:wrapSquare wrapText="bothSides"/>
            <wp:docPr id="1" name="officeArt object" descr="Logo SALUD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Logo SALUD vertical"/>
                    <pic:cNvPicPr>
                      <a:picLocks noChangeAspect="1" noChangeArrowheads="1"/>
                    </pic:cNvPicPr>
                  </pic:nvPicPr>
                  <pic:blipFill>
                    <a:blip r:embed="rId2"/>
                    <a:stretch>
                      <a:fillRect/>
                    </a:stretch>
                  </pic:blipFill>
                  <pic:spPr bwMode="auto">
                    <a:xfrm>
                      <a:off x="0" y="0"/>
                      <a:ext cx="942975" cy="959485"/>
                    </a:xfrm>
                    <a:prstGeom prst="rect">
                      <a:avLst/>
                    </a:prstGeom>
                  </pic:spPr>
                </pic:pic>
              </a:graphicData>
            </a:graphic>
          </wp:anchor>
        </w:drawing>
        <mc:AlternateContent>
          <mc:Choice Requires="wpg">
            <w:drawing>
              <wp:anchor behindDoc="0" distT="0" distB="0" distL="0" distR="0" simplePos="0" locked="0" layoutInCell="1" allowOverlap="1" relativeHeight="3">
                <wp:simplePos x="0" y="0"/>
                <wp:positionH relativeFrom="page">
                  <wp:posOffset>1866900</wp:posOffset>
                </wp:positionH>
                <wp:positionV relativeFrom="line">
                  <wp:posOffset>109220</wp:posOffset>
                </wp:positionV>
                <wp:extent cx="3482975" cy="962660"/>
                <wp:effectExtent l="0" t="0" r="0" b="0"/>
                <wp:wrapNone/>
                <wp:docPr id="2" name="officeArt object"/>
                <a:graphic xmlns:a="http://schemas.openxmlformats.org/drawingml/2006/main">
                  <a:graphicData uri="http://schemas.microsoft.com/office/word/2010/wordprocessingGroup">
                    <wpg:wgp>
                      <wpg:cNvGrpSpPr/>
                      <wpg:grpSpPr>
                        <a:xfrm>
                          <a:off x="0" y="0"/>
                          <a:ext cx="3482280" cy="961920"/>
                        </a:xfrm>
                      </wpg:grpSpPr>
                      <wps:wsp>
                        <wps:cNvSpPr/>
                        <wps:spPr>
                          <a:xfrm>
                            <a:off x="0" y="0"/>
                            <a:ext cx="3482280" cy="961920"/>
                          </a:xfrm>
                          <a:prstGeom prst="rect">
                            <a:avLst/>
                          </a:prstGeom>
                          <a:solidFill>
                            <a:srgbClr val="ffffff"/>
                          </a:solidFill>
                          <a:ln w="12600">
                            <a:noFill/>
                          </a:ln>
                        </wps:spPr>
                        <wps:style>
                          <a:lnRef idx="0"/>
                          <a:fillRef idx="0"/>
                          <a:effectRef idx="0"/>
                          <a:fontRef idx="minor"/>
                        </wps:style>
                        <wps:bodyPr/>
                      </wps:wsp>
                      <wps:wsp>
                        <wps:cNvSpPr/>
                        <wps:spPr>
                          <a:xfrm>
                            <a:off x="0" y="0"/>
                            <a:ext cx="3482280" cy="961920"/>
                          </a:xfrm>
                          <a:prstGeom prst="rect">
                            <a:avLst/>
                          </a:prstGeom>
                          <a:noFill/>
                          <a:ln w="12600">
                            <a:noFill/>
                          </a:ln>
                        </wps:spPr>
                        <wps:style>
                          <a:lnRef idx="0"/>
                          <a:fillRef idx="0"/>
                          <a:effectRef idx="0"/>
                          <a:fontRef idx="minor"/>
                        </wps:style>
                        <wps:txbx>
                          <w:txbxContent>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ascii="Arial" w:hAnsi="Arial"/>
                                  <w:lang w:val="es-ES" w:eastAsia="es-ES"/>
                                </w:rPr>
                                <w:t>FEDERACIÓN DE SALUD</w:t>
                              </w:r>
                            </w:p>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ascii="Arial" w:hAnsi="Arial"/>
                                  <w:lang w:val="es-ES" w:eastAsia="es-ES"/>
                                </w:rPr>
                                <w:t>SECRETARIADO NACIONAL</w:t>
                              </w:r>
                            </w:p>
                            <w:p>
                              <w:pPr>
                                <w:overflowPunct w:val="false"/>
                                <w:spacing w:before="0" w:after="0" w:lineRule="auto" w:line="120"/>
                                <w:jc w:val="center"/>
                                <w:rPr/>
                              </w:pPr>
                              <w:r>
                                <w:rPr>
                                  <w:szCs w:val="20"/>
                                  <w:lang w:val="es-ES" w:eastAsia="es-ES"/>
                                </w:rPr>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ahoma" w:hAnsi="Tahoma"/>
                                  <w:lang w:val="es-ES" w:eastAsia="es-ES"/>
                                </w:rPr>
                                <w:t>Calle Méndez Núñez, nº 84, 6º planta. Santa Cruz de Tenerife.</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ahoma" w:hAnsi="Tahoma"/>
                                  <w:lang w:val="es-ES" w:eastAsia="es-ES"/>
                                </w:rPr>
                                <w:t xml:space="preserve">Tfno. 922.60.00.36. </w:t>
                              </w:r>
                              <w:r>
                                <w:rPr>
                                  <w:sz w:val="16"/>
                                  <w:b w:val="false"/>
                                  <w:u w:val="none"/>
                                  <w:dstrike w:val="false"/>
                                  <w:strike w:val="false"/>
                                  <w:i w:val="false"/>
                                  <w:vertAlign w:val="baseline"/>
                                  <w:position w:val="0"/>
                                  <w:spacing w:val="0"/>
                                  <w:szCs w:val="16"/>
                                  <w:bCs w:val="false"/>
                                  <w:iCs w:val="false"/>
                                  <w:smallCaps w:val="false"/>
                                  <w:caps w:val="false"/>
                                  <w:rFonts w:ascii="Tahoma" w:hAnsi="Tahoma"/>
                                  <w:color w:val="444444"/>
                                  <w:lang w:val="es-ES" w:eastAsia="es-ES"/>
                                </w:rPr>
                                <w:t>intersindicalnacionalsalud@hotmail.com</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ahoma" w:hAnsi="Tahoma"/>
                                  <w:color w:val="444444"/>
                                  <w:lang w:val="es-ES" w:eastAsia="es-ES"/>
                                </w:rPr>
                                <w:t>Dolores de la Roche 47, planta alta. Las Palmas de Gran Canaria. Tfno: 928.38.16.77.</w:t>
                              </w:r>
                            </w:p>
                          </w:txbxContent>
                        </wps:txbx>
                        <wps:bodyPr lIns="45720" rIns="45720">
                          <a:noAutofit/>
                        </wps:bodyPr>
                      </wps:wsp>
                    </wpg:wgp>
                  </a:graphicData>
                </a:graphic>
              </wp:anchor>
            </w:drawing>
          </mc:Choice>
          <mc:Fallback>
            <w:pict>
              <v:group id="shape_0" alt="officeArt object" style="position:absolute;margin-left:147pt;margin-top:8.6pt;width:274.2pt;height:75.75pt" coordorigin="2940,172" coordsize="5484,1515">
                <v:rect id="shape_0" ID="Shape 1073741827" fillcolor="white" stroked="f" style="position:absolute;left:2940;top:172;width:5483;height:1514;mso-position-horizontal-relative:page">
                  <w10:wrap type="none"/>
                  <v:fill o:detectmouseclick="t" type="solid" color2="black"/>
                  <v:stroke color="#3465a4" weight="12600" joinstyle="miter" endcap="flat"/>
                </v:rect>
                <v:rect id="shape_0" ID="Shape 1073741828" stroked="f" style="position:absolute;left:2940;top:172;width:5483;height:1514;mso-position-horizontal-relative:page">
                  <v:textbox>
                    <w:txbxContent>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ascii="Arial" w:hAnsi="Arial"/>
                            <w:lang w:val="es-ES" w:eastAsia="es-ES"/>
                          </w:rPr>
                          <w:t>FEDERACIÓN DE SALUD</w:t>
                        </w:r>
                      </w:p>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ascii="Arial" w:hAnsi="Arial"/>
                            <w:lang w:val="es-ES" w:eastAsia="es-ES"/>
                          </w:rPr>
                          <w:t>SECRETARIADO NACIONAL</w:t>
                        </w:r>
                      </w:p>
                      <w:p>
                        <w:pPr>
                          <w:overflowPunct w:val="false"/>
                          <w:spacing w:before="0" w:after="0" w:lineRule="auto" w:line="120"/>
                          <w:jc w:val="center"/>
                          <w:rPr/>
                        </w:pPr>
                        <w:r>
                          <w:rPr>
                            <w:szCs w:val="20"/>
                            <w:lang w:val="es-ES" w:eastAsia="es-ES"/>
                          </w:rPr>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ahoma" w:hAnsi="Tahoma"/>
                            <w:lang w:val="es-ES" w:eastAsia="es-ES"/>
                          </w:rPr>
                          <w:t>Calle Méndez Núñez, nº 84, 6º planta. Santa Cruz de Tenerife.</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ahoma" w:hAnsi="Tahoma"/>
                            <w:lang w:val="es-ES" w:eastAsia="es-ES"/>
                          </w:rPr>
                          <w:t xml:space="preserve">Tfno. 922.60.00.36. </w:t>
                        </w:r>
                        <w:r>
                          <w:rPr>
                            <w:sz w:val="16"/>
                            <w:b w:val="false"/>
                            <w:u w:val="none"/>
                            <w:dstrike w:val="false"/>
                            <w:strike w:val="false"/>
                            <w:i w:val="false"/>
                            <w:vertAlign w:val="baseline"/>
                            <w:position w:val="0"/>
                            <w:spacing w:val="0"/>
                            <w:szCs w:val="16"/>
                            <w:bCs w:val="false"/>
                            <w:iCs w:val="false"/>
                            <w:smallCaps w:val="false"/>
                            <w:caps w:val="false"/>
                            <w:rFonts w:ascii="Tahoma" w:hAnsi="Tahoma"/>
                            <w:color w:val="444444"/>
                            <w:lang w:val="es-ES" w:eastAsia="es-ES"/>
                          </w:rPr>
                          <w:t>intersindicalnacionalsalud@hotmail.com</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ahoma" w:hAnsi="Tahoma"/>
                            <w:color w:val="444444"/>
                            <w:lang w:val="es-ES" w:eastAsia="es-ES"/>
                          </w:rPr>
                          <w:t>Dolores de la Roche 47, planta alta. Las Palmas de Gran Canaria. Tfno: 928.38.16.77.</w:t>
                        </w:r>
                      </w:p>
                    </w:txbxContent>
                  </v:textbox>
                  <w10:wrap type="square"/>
                  <v:fill o:detectmouseclick="t" on="false"/>
                  <v:stroke color="#3465a4" weight="12600" joinstyle="miter" endcap="flat"/>
                </v:rect>
              </v:group>
            </w:pict>
          </mc:Fallback>
        </mc:AlternateContent>
        <w:drawing>
          <wp:anchor behindDoc="0" distT="57150" distB="57150" distL="57150" distR="57150" simplePos="0" locked="0" layoutInCell="1" allowOverlap="1" relativeHeight="4">
            <wp:simplePos x="0" y="0"/>
            <wp:positionH relativeFrom="page">
              <wp:posOffset>5627370</wp:posOffset>
            </wp:positionH>
            <wp:positionV relativeFrom="line">
              <wp:posOffset>109220</wp:posOffset>
            </wp:positionV>
            <wp:extent cx="1278890" cy="904875"/>
            <wp:effectExtent l="0" t="0" r="0" b="0"/>
            <wp:wrapSquare wrapText="bothSides"/>
            <wp:docPr id="3" name="Imagen1" descr="Cambio-cli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Cambio-climático"/>
                    <pic:cNvPicPr>
                      <a:picLocks noChangeAspect="1" noChangeArrowheads="1"/>
                    </pic:cNvPicPr>
                  </pic:nvPicPr>
                  <pic:blipFill>
                    <a:blip r:embed="rId3"/>
                    <a:stretch>
                      <a:fillRect/>
                    </a:stretch>
                  </pic:blipFill>
                  <pic:spPr bwMode="auto">
                    <a:xfrm>
                      <a:off x="0" y="0"/>
                      <a:ext cx="1278890" cy="904875"/>
                    </a:xfrm>
                    <a:prstGeom prst="rect">
                      <a:avLst/>
                    </a:prstGeom>
                  </pic:spPr>
                </pic:pic>
              </a:graphicData>
            </a:graphic>
          </wp:anchor>
        </w:drawing>
      </w:r>
    </w:p>
    <w:p>
      <w:pPr>
        <w:pStyle w:val="Cuerpo"/>
        <w:spacing w:lineRule="auto" w:line="276" w:before="0" w:after="200"/>
        <w:rPr>
          <w:rStyle w:val="Ninguno"/>
          <w:rFonts w:ascii="Times New Roman" w:hAnsi="Times New Roman" w:eastAsia="Times New Roman" w:cs="Times New Roman"/>
          <w:sz w:val="24"/>
          <w:szCs w:val="24"/>
        </w:rPr>
      </w:pPr>
      <w:r>
        <w:rPr>
          <w:rStyle w:val="Ninguno"/>
          <w:rFonts w:ascii="Times New Roman" w:hAnsi="Times New Roman"/>
          <w:b/>
          <w:bCs/>
          <w:sz w:val="24"/>
          <w:szCs w:val="24"/>
        </w:rPr>
        <w:t xml:space="preserve">                                       </w:t>
      </w:r>
    </w:p>
    <w:p>
      <w:pPr>
        <w:pStyle w:val="Cuerpo"/>
        <w:spacing w:lineRule="auto" w:line="276"/>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Cuerpo"/>
        <w:spacing w:lineRule="auto" w:line="276"/>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Cuerpo"/>
        <w:spacing w:lineRule="auto" w:line="276"/>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Cuerpo"/>
        <w:spacing w:lineRule="auto" w:line="276"/>
        <w:jc w:val="center"/>
        <w:rPr>
          <w:rStyle w:val="Ninguno"/>
          <w:rFonts w:ascii="Times New Roman" w:hAnsi="Times New Roman" w:eastAsia="Times New Roman" w:cs="Times New Roman"/>
          <w:b/>
          <w:b/>
          <w:bCs/>
          <w:sz w:val="48"/>
          <w:szCs w:val="48"/>
        </w:rPr>
      </w:pPr>
      <w:r>
        <w:rPr>
          <w:rStyle w:val="Ninguno"/>
          <w:rFonts w:ascii="Times New Roman" w:hAnsi="Times New Roman"/>
          <w:b/>
          <w:bCs/>
          <w:sz w:val="48"/>
          <w:szCs w:val="48"/>
        </w:rPr>
        <w:t>INTERSINDICAL CANARIA INFORMA</w:t>
      </w:r>
    </w:p>
    <w:p>
      <w:pPr>
        <w:pStyle w:val="Cuerpo"/>
        <w:spacing w:lineRule="auto" w:line="276"/>
        <w:rPr>
          <w:rStyle w:val="Ninguno"/>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Cuerpo"/>
        <w:jc w:val="center"/>
        <w:rPr>
          <w:rStyle w:val="Ninguno"/>
          <w:rFonts w:ascii="Times New Roman" w:hAnsi="Times New Roman" w:eastAsia="Times New Roman" w:cs="Times New Roman"/>
          <w:b/>
          <w:b/>
          <w:bCs/>
          <w:color w:val="212121"/>
          <w:sz w:val="32"/>
          <w:szCs w:val="32"/>
          <w:u w:val="none" w:color="212121"/>
        </w:rPr>
      </w:pPr>
      <w:r>
        <w:rPr>
          <w:rStyle w:val="Ninguno"/>
          <w:rFonts w:ascii="Times New Roman" w:hAnsi="Times New Roman"/>
          <w:b/>
          <w:bCs/>
          <w:color w:val="212121"/>
          <w:sz w:val="32"/>
          <w:szCs w:val="32"/>
          <w:u w:val="none" w:color="212121"/>
          <w:lang w:val="es-ES_tradnl"/>
        </w:rPr>
        <w:t>MESA SECTORIAL 14 DE NOVIEMBRE DE 2018</w:t>
      </w:r>
    </w:p>
    <w:p>
      <w:pPr>
        <w:pStyle w:val="Cuerpo"/>
        <w:jc w:val="center"/>
        <w:rPr>
          <w:rStyle w:val="Ninguno"/>
          <w:rFonts w:ascii="Times New Roman" w:hAnsi="Times New Roman" w:eastAsia="Times New Roman" w:cs="Times New Roman"/>
          <w:b/>
          <w:b/>
          <w:bCs/>
          <w:color w:val="212121"/>
          <w:sz w:val="32"/>
          <w:szCs w:val="32"/>
          <w:u w:val="none" w:color="212121"/>
        </w:rPr>
      </w:pPr>
      <w:r>
        <w:rPr>
          <w:rFonts w:eastAsia="Times New Roman" w:cs="Times New Roman" w:ascii="Times New Roman" w:hAnsi="Times New Roman"/>
          <w:b/>
          <w:bCs/>
          <w:color w:val="212121"/>
          <w:sz w:val="32"/>
          <w:szCs w:val="32"/>
          <w:u w:val="none" w:color="212121"/>
        </w:rPr>
      </w:r>
    </w:p>
    <w:p>
      <w:pPr>
        <w:pStyle w:val="Cuerpo"/>
        <w:ind w:firstLine="708"/>
        <w:rPr>
          <w:rStyle w:val="Ninguno"/>
          <w:rFonts w:ascii="Times New Roman" w:hAnsi="Times New Roman" w:eastAsia="Times New Roman" w:cs="Times New Roman"/>
          <w:bCs/>
          <w:color w:val="212121"/>
          <w:sz w:val="32"/>
          <w:szCs w:val="32"/>
          <w:u w:val="none" w:color="212121"/>
        </w:rPr>
      </w:pPr>
      <w:r>
        <w:rPr>
          <w:rStyle w:val="Ninguno"/>
          <w:rFonts w:ascii="Times New Roman" w:hAnsi="Times New Roman"/>
          <w:bCs/>
          <w:color w:val="212121"/>
          <w:sz w:val="32"/>
          <w:szCs w:val="32"/>
          <w:u w:val="none" w:color="212121"/>
          <w:lang w:val="es-ES_tradnl"/>
        </w:rPr>
        <w:t>El desarrollo de la Mesa Sectorial estuvo basado en la puesta en escena de un acuerdo tácito entre las Organizaciones CCOO, UGT y CEMSATSE con la Administración. Se trataron los siguientes puntos.</w:t>
      </w:r>
    </w:p>
    <w:p>
      <w:pPr>
        <w:pStyle w:val="Cuerpo"/>
        <w:jc w:val="center"/>
        <w:rPr>
          <w:rStyle w:val="Ninguno"/>
          <w:rFonts w:ascii="Times New Roman" w:hAnsi="Times New Roman" w:eastAsia="Times New Roman" w:cs="Times New Roman"/>
          <w:b/>
          <w:b/>
          <w:bCs/>
          <w:color w:val="212121"/>
          <w:sz w:val="32"/>
          <w:szCs w:val="32"/>
          <w:u w:val="none" w:color="212121"/>
        </w:rPr>
      </w:pPr>
      <w:r>
        <w:rPr>
          <w:rFonts w:eastAsia="Times New Roman" w:cs="Times New Roman" w:ascii="Times New Roman" w:hAnsi="Times New Roman"/>
          <w:b/>
          <w:bCs/>
          <w:color w:val="212121"/>
          <w:sz w:val="32"/>
          <w:szCs w:val="32"/>
          <w:u w:val="none" w:color="212121"/>
        </w:rPr>
      </w:r>
    </w:p>
    <w:p>
      <w:pPr>
        <w:pStyle w:val="Cuerpo"/>
        <w:numPr>
          <w:ilvl w:val="0"/>
          <w:numId w:val="1"/>
        </w:numPr>
        <w:ind w:left="0" w:firstLine="708"/>
        <w:rPr>
          <w:rStyle w:val="Ninguno"/>
          <w:rFonts w:ascii="Times New Roman" w:hAnsi="Times New Roman" w:eastAsia="Times New Roman" w:cs="Times New Roman"/>
          <w:b/>
          <w:b/>
          <w:bCs/>
          <w:color w:val="212121"/>
          <w:sz w:val="32"/>
          <w:szCs w:val="32"/>
          <w:u w:val="none" w:color="212121"/>
          <w:lang w:val="es-ES_tradnl"/>
        </w:rPr>
      </w:pPr>
      <w:r>
        <w:rPr>
          <w:rStyle w:val="Ninguno"/>
          <w:rFonts w:ascii="Times New Roman" w:hAnsi="Times New Roman"/>
          <w:b/>
          <w:bCs/>
          <w:color w:val="212121"/>
          <w:sz w:val="32"/>
          <w:szCs w:val="32"/>
          <w:u w:val="none" w:color="212121"/>
          <w:lang w:val="es-ES_tradnl"/>
        </w:rPr>
        <w:t xml:space="preserve">OFERTA DE EMPLEO PÚBLICO 2018 Y ADICIONAL: </w:t>
      </w:r>
    </w:p>
    <w:p>
      <w:pPr>
        <w:pStyle w:val="Cuerpo"/>
        <w:ind w:firstLine="708"/>
        <w:rPr>
          <w:rStyle w:val="Ninguno"/>
          <w:rFonts w:ascii="Times New Roman" w:hAnsi="Times New Roman" w:eastAsia="Times New Roman" w:cs="Times New Roman"/>
          <w:b/>
          <w:b/>
          <w:bCs/>
          <w:color w:val="212121"/>
          <w:sz w:val="32"/>
          <w:szCs w:val="32"/>
          <w:u w:val="none" w:color="212121"/>
          <w:lang w:val="es-ES_tradnl"/>
        </w:rPr>
      </w:pPr>
      <w:r>
        <w:rPr>
          <w:rStyle w:val="Ninguno"/>
          <w:rFonts w:ascii="Times New Roman" w:hAnsi="Times New Roman"/>
          <w:bCs/>
          <w:color w:val="212121"/>
          <w:sz w:val="32"/>
          <w:szCs w:val="32"/>
          <w:u w:val="none" w:color="212121"/>
          <w:lang w:val="es-ES_tradnl"/>
        </w:rPr>
        <w:t>Se anuncia que el número de plazas que salen a oferta es en su conjunto de 7198, quedando según ellos la eventualidad en torno al 8%, pero no están contempladas las plazas que, teóricamente,  hay que crear para retornar a las 35 horas. Se desconoce su número por Gerencias, planteando que tendrán esos datos la semana próxima. Importante señalar que, aún no se han negociado las bases genéricas ni específicas, aunque plantean que los temarios pueden ser los de la OPE 2007, con actualizaciones y el objetivo, aunque no la certeza, es que haya coordinación a nivel del estado español. Intersindical Canaria plantea como fundamental la derogación efectiva del Decreto 74/2010, que haya una discriminación positiva en las bases para el trabajador que lleve más años en el Servicio Canario de Salud y que exista descentralización de los pruebas, dada la fragmentación del territorio, absteniéndose por la falta de datos.</w:t>
      </w:r>
    </w:p>
    <w:p>
      <w:pPr>
        <w:pStyle w:val="Cuerpo"/>
        <w:numPr>
          <w:ilvl w:val="0"/>
          <w:numId w:val="1"/>
        </w:numPr>
        <w:ind w:left="0" w:firstLine="426"/>
        <w:rPr>
          <w:rStyle w:val="Ninguno"/>
          <w:rFonts w:ascii="Times New Roman" w:hAnsi="Times New Roman" w:eastAsia="Times New Roman" w:cs="Times New Roman"/>
          <w:bCs/>
          <w:color w:val="212121"/>
          <w:sz w:val="32"/>
          <w:szCs w:val="32"/>
          <w:u w:val="none" w:color="212121"/>
          <w:lang w:val="es-ES_tradnl"/>
        </w:rPr>
      </w:pPr>
      <w:r>
        <w:rPr>
          <w:rStyle w:val="Ninguno"/>
          <w:rFonts w:ascii="Times New Roman" w:hAnsi="Times New Roman"/>
          <w:b/>
          <w:bCs/>
          <w:color w:val="212121"/>
          <w:sz w:val="32"/>
          <w:szCs w:val="32"/>
          <w:u w:val="none" w:color="212121"/>
          <w:lang w:val="es-ES_tradnl"/>
        </w:rPr>
        <w:t xml:space="preserve">JORNADA DE TRABAJO (LEY PRESUPUESTOS 2019):            </w:t>
      </w:r>
    </w:p>
    <w:p>
      <w:pPr>
        <w:pStyle w:val="Cuerpo"/>
        <w:ind w:firstLine="426"/>
        <w:rPr>
          <w:rStyle w:val="Ninguno"/>
          <w:rFonts w:ascii="Times New Roman" w:hAnsi="Times New Roman"/>
          <w:bCs/>
          <w:color w:val="212121"/>
          <w:sz w:val="32"/>
          <w:szCs w:val="32"/>
          <w:u w:val="none" w:color="212121"/>
          <w:lang w:val="es-ES_tradnl"/>
        </w:rPr>
      </w:pPr>
      <w:r>
        <w:rPr>
          <w:rStyle w:val="Ninguno"/>
          <w:rFonts w:ascii="Times New Roman" w:hAnsi="Times New Roman"/>
          <w:bCs/>
          <w:color w:val="212121"/>
          <w:sz w:val="32"/>
          <w:szCs w:val="32"/>
          <w:u w:val="none" w:color="212121"/>
          <w:lang w:val="es-ES_tradnl"/>
        </w:rPr>
        <w:t>Sin haber aportado documentación previa, la Administración advierte que no va a entrar en el debate de las 35 horas. Sólo se pretende recoger propuestas de Factores de cómputo nocturno, por si se diese la aplicación, que sigue estando sujeta a disponibilidad del superávit. Nuestro posicionamiento es remitirnos al Comité de Huelga. CCOO, UGT y CEMSATSE, presentan propuesta conjunta que es aceptada por la Administración, penalizando las noches a partir de la número 42 anual.</w:t>
      </w:r>
    </w:p>
    <w:p>
      <w:pPr>
        <w:pStyle w:val="Cuerpo"/>
        <w:ind w:firstLine="426"/>
        <w:rPr>
          <w:rStyle w:val="Ninguno"/>
          <w:rFonts w:ascii="Times New Roman" w:hAnsi="Times New Roman" w:eastAsia="Times New Roman" w:cs="Times New Roman"/>
          <w:bCs/>
          <w:color w:val="212121"/>
          <w:sz w:val="32"/>
          <w:szCs w:val="32"/>
          <w:u w:val="none" w:color="212121"/>
          <w:lang w:val="es-ES_tradnl"/>
        </w:rPr>
      </w:pPr>
      <w:r>
        <w:rPr>
          <w:rFonts w:eastAsia="Times New Roman" w:cs="Times New Roman" w:ascii="Times New Roman" w:hAnsi="Times New Roman"/>
          <w:bCs/>
          <w:color w:val="212121"/>
          <w:sz w:val="32"/>
          <w:szCs w:val="32"/>
          <w:u w:val="none" w:color="212121"/>
          <w:lang w:val="es-ES_tradnl"/>
        </w:rPr>
      </w:r>
    </w:p>
    <w:p>
      <w:pPr>
        <w:pStyle w:val="Cuerpo"/>
        <w:rPr>
          <w:rStyle w:val="Ninguno"/>
          <w:rFonts w:ascii="Times New Roman" w:hAnsi="Times New Roman" w:eastAsia="Times New Roman" w:cs="Times New Roman"/>
          <w:bCs/>
          <w:color w:val="212121"/>
          <w:sz w:val="32"/>
          <w:szCs w:val="32"/>
          <w:u w:val="none" w:color="212121"/>
          <w:lang w:val="es-ES_tradnl"/>
        </w:rPr>
      </w:pPr>
      <w:r>
        <w:rPr>
          <w:rFonts w:eastAsia="Times New Roman" w:cs="Times New Roman" w:ascii="Times New Roman" w:hAnsi="Times New Roman"/>
          <w:bCs/>
          <w:color w:val="212121"/>
          <w:sz w:val="32"/>
          <w:szCs w:val="32"/>
          <w:u w:val="none" w:color="212121"/>
          <w:lang w:val="es-ES_tradnl"/>
        </w:rPr>
      </w:r>
    </w:p>
    <w:p>
      <w:pPr>
        <w:pStyle w:val="Cuerpo"/>
        <w:numPr>
          <w:ilvl w:val="0"/>
          <w:numId w:val="1"/>
        </w:numPr>
        <w:tabs>
          <w:tab w:val="clear" w:pos="708"/>
          <w:tab w:val="left" w:pos="0" w:leader="none"/>
        </w:tabs>
        <w:ind w:left="0" w:firstLine="567"/>
        <w:rPr>
          <w:rStyle w:val="Ninguno"/>
          <w:rFonts w:ascii="Times New Roman" w:hAnsi="Times New Roman" w:eastAsia="Times New Roman" w:cs="Times New Roman"/>
          <w:bCs/>
          <w:color w:val="212121"/>
          <w:sz w:val="32"/>
          <w:szCs w:val="32"/>
          <w:u w:val="none" w:color="212121"/>
          <w:lang w:val="es-ES_tradnl"/>
        </w:rPr>
      </w:pPr>
      <w:r>
        <w:rPr>
          <w:rStyle w:val="Ninguno"/>
          <w:rFonts w:ascii="Times New Roman" w:hAnsi="Times New Roman"/>
          <w:b/>
          <w:bCs/>
          <w:color w:val="212121"/>
          <w:sz w:val="32"/>
          <w:szCs w:val="32"/>
          <w:u w:val="none" w:color="212121"/>
          <w:lang w:val="es-ES_tradnl"/>
        </w:rPr>
        <w:t xml:space="preserve">ATENCIÓNCONTINUADA (LPGCAC 2019): </w:t>
      </w:r>
      <w:r>
        <w:rPr>
          <w:rStyle w:val="Ninguno"/>
          <w:rFonts w:ascii="Times New Roman" w:hAnsi="Times New Roman"/>
          <w:bCs/>
          <w:color w:val="212121"/>
          <w:sz w:val="32"/>
          <w:szCs w:val="32"/>
          <w:u w:val="none" w:color="212121"/>
          <w:lang w:val="es-ES_tradnl"/>
        </w:rPr>
        <w:t>Se hace extensivo el acuerdo de atención continuada a todas las categorías, para regular en Ley de Presupuestos, dichas retribuciones.</w:t>
      </w:r>
    </w:p>
    <w:p>
      <w:pPr>
        <w:pStyle w:val="Cuerpo"/>
        <w:rPr>
          <w:rStyle w:val="Ninguno"/>
          <w:rFonts w:ascii="Times New Roman" w:hAnsi="Times New Roman" w:eastAsia="Times New Roman" w:cs="Times New Roman"/>
          <w:b/>
          <w:b/>
          <w:bCs/>
          <w:color w:val="212121"/>
          <w:sz w:val="32"/>
          <w:szCs w:val="32"/>
          <w:u w:val="none" w:color="212121"/>
          <w:lang w:val="es-ES_tradnl"/>
        </w:rPr>
      </w:pPr>
      <w:r>
        <w:rPr>
          <w:rFonts w:eastAsia="Times New Roman" w:cs="Times New Roman" w:ascii="Times New Roman" w:hAnsi="Times New Roman"/>
          <w:b/>
          <w:bCs/>
          <w:color w:val="212121"/>
          <w:sz w:val="32"/>
          <w:szCs w:val="32"/>
          <w:u w:val="none" w:color="212121"/>
          <w:lang w:val="es-ES_tradnl"/>
        </w:rPr>
      </w:r>
    </w:p>
    <w:p>
      <w:pPr>
        <w:pStyle w:val="Cuerpo"/>
        <w:numPr>
          <w:ilvl w:val="0"/>
          <w:numId w:val="1"/>
        </w:numPr>
        <w:ind w:left="0" w:firstLine="708"/>
        <w:rPr>
          <w:rStyle w:val="Ninguno"/>
          <w:rFonts w:ascii="Times New Roman" w:hAnsi="Times New Roman" w:eastAsia="Times New Roman" w:cs="Times New Roman"/>
          <w:bCs/>
          <w:color w:val="212121"/>
          <w:sz w:val="32"/>
          <w:szCs w:val="32"/>
          <w:u w:val="none" w:color="212121"/>
          <w:lang w:val="es-ES_tradnl"/>
        </w:rPr>
      </w:pPr>
      <w:r>
        <w:rPr>
          <w:rStyle w:val="Ninguno"/>
          <w:rFonts w:ascii="Times New Roman" w:hAnsi="Times New Roman"/>
          <w:b/>
          <w:bCs/>
          <w:color w:val="212121"/>
          <w:sz w:val="32"/>
          <w:szCs w:val="32"/>
          <w:u w:val="none" w:color="212121"/>
          <w:lang w:val="es-ES_tradnl"/>
        </w:rPr>
        <w:t xml:space="preserve">SELECCIÓN DE PERSONAL DIRECTIVO. </w:t>
      </w:r>
      <w:r>
        <w:rPr>
          <w:rStyle w:val="Ninguno"/>
          <w:rFonts w:ascii="Times New Roman" w:hAnsi="Times New Roman"/>
          <w:bCs/>
          <w:color w:val="212121"/>
          <w:sz w:val="32"/>
          <w:szCs w:val="32"/>
          <w:u w:val="none" w:color="212121"/>
          <w:lang w:val="es-ES_tradnl"/>
        </w:rPr>
        <w:t>Se presenta propuesta de Resolución de la Directora General de Recursos Humanos del SCS, sin opción a debate, para aplicación en la selección de personal directivo. Intersindical ve un avance, aunque manifiesta su disconformidad porque  deja la puerta abierta a la privatización de la gestión de la Sanidad Publica Canaria, ya que podría acceder cualquier persona sin vínculo con la Administración. No se toman acuerdos, es para oír sensibilidades.</w:t>
      </w:r>
    </w:p>
    <w:p>
      <w:pPr>
        <w:pStyle w:val="Cuerpo"/>
        <w:rPr>
          <w:rStyle w:val="Ninguno"/>
          <w:rFonts w:ascii="Times New Roman" w:hAnsi="Times New Roman" w:eastAsia="Times New Roman" w:cs="Times New Roman"/>
          <w:bCs/>
          <w:color w:val="212121"/>
          <w:sz w:val="32"/>
          <w:szCs w:val="32"/>
          <w:u w:val="none" w:color="212121"/>
          <w:lang w:val="es-ES_tradnl"/>
        </w:rPr>
      </w:pPr>
      <w:r>
        <w:rPr>
          <w:rFonts w:eastAsia="Times New Roman" w:cs="Times New Roman" w:ascii="Times New Roman" w:hAnsi="Times New Roman"/>
          <w:bCs/>
          <w:color w:val="212121"/>
          <w:sz w:val="32"/>
          <w:szCs w:val="32"/>
          <w:u w:val="none" w:color="212121"/>
          <w:lang w:val="es-ES_tradnl"/>
        </w:rPr>
      </w:r>
    </w:p>
    <w:p>
      <w:pPr>
        <w:pStyle w:val="Cuerpo"/>
        <w:numPr>
          <w:ilvl w:val="0"/>
          <w:numId w:val="1"/>
        </w:numPr>
        <w:ind w:left="0" w:firstLine="708"/>
        <w:rPr>
          <w:rStyle w:val="Ninguno"/>
          <w:rFonts w:ascii="Times New Roman" w:hAnsi="Times New Roman" w:eastAsia="Times New Roman" w:cs="Times New Roman"/>
          <w:bCs/>
          <w:color w:val="212121"/>
          <w:sz w:val="32"/>
          <w:szCs w:val="32"/>
          <w:u w:val="none" w:color="212121"/>
          <w:lang w:val="es-ES_tradnl"/>
        </w:rPr>
      </w:pPr>
      <w:r>
        <w:rPr>
          <w:rStyle w:val="Ninguno"/>
          <w:rFonts w:ascii="Times New Roman" w:hAnsi="Times New Roman"/>
          <w:b/>
          <w:bCs/>
          <w:color w:val="212121"/>
          <w:sz w:val="32"/>
          <w:szCs w:val="32"/>
          <w:u w:val="none" w:color="212121"/>
          <w:lang w:val="es-ES_tradnl"/>
        </w:rPr>
        <w:t>SISTEMA DE LISTAS DE EMPLEO DEL SCS</w:t>
      </w:r>
      <w:r>
        <w:rPr>
          <w:rStyle w:val="Ninguno"/>
          <w:rFonts w:eastAsia="Times New Roman" w:cs="Times New Roman" w:ascii="Times New Roman" w:hAnsi="Times New Roman"/>
          <w:bCs/>
          <w:color w:val="212121"/>
          <w:sz w:val="32"/>
          <w:szCs w:val="32"/>
          <w:u w:val="none" w:color="212121"/>
          <w:lang w:val="es-ES_tradnl"/>
        </w:rPr>
        <w:t xml:space="preserve">: </w:t>
      </w:r>
      <w:r>
        <w:rPr>
          <w:rStyle w:val="Ninguno"/>
          <w:rFonts w:ascii="Times New Roman" w:hAnsi="Times New Roman"/>
          <w:bCs/>
          <w:color w:val="212121"/>
          <w:sz w:val="32"/>
          <w:szCs w:val="32"/>
          <w:u w:val="none" w:color="212121"/>
          <w:lang w:val="es-ES_tradnl"/>
        </w:rPr>
        <w:t>Se presenta Proyecto de Orden listas de empleo, sin derogación del decreto 74/2010. Las aportaciones de Intersindical Canaria en el grupo de trabajo son escasamente recogidas. Especialmente grave las referidas a los pesos y al mantenimiento de los Listados de Contratación del HUC e Insular de Lanzarote. Dan otro plazo para seguir presentando aportaciones que se valorarán en una próxima Mesa Sectorial.</w:t>
      </w:r>
    </w:p>
    <w:p>
      <w:pPr>
        <w:pStyle w:val="Cuerpo"/>
        <w:numPr>
          <w:ilvl w:val="0"/>
          <w:numId w:val="1"/>
        </w:numPr>
        <w:ind w:left="0" w:firstLine="708"/>
        <w:rPr>
          <w:rStyle w:val="Ninguno"/>
          <w:rFonts w:ascii="Times New Roman" w:hAnsi="Times New Roman" w:eastAsia="Times New Roman" w:cs="Times New Roman"/>
          <w:bCs/>
          <w:color w:val="212121"/>
          <w:sz w:val="32"/>
          <w:szCs w:val="32"/>
          <w:u w:val="none" w:color="212121"/>
          <w:lang w:val="es-ES_tradnl"/>
        </w:rPr>
      </w:pPr>
      <w:r>
        <w:rPr>
          <w:rStyle w:val="Ninguno"/>
          <w:rFonts w:ascii="Times New Roman" w:hAnsi="Times New Roman"/>
          <w:b/>
          <w:bCs/>
          <w:color w:val="212121"/>
          <w:sz w:val="32"/>
          <w:szCs w:val="32"/>
          <w:u w:val="none" w:color="212121"/>
          <w:lang w:val="es-ES_tradnl"/>
        </w:rPr>
        <w:t>MANUAL DE PERMISOS, LICENCIAS Y VACACIONES</w:t>
      </w:r>
      <w:r>
        <w:rPr>
          <w:rStyle w:val="Ninguno"/>
          <w:rFonts w:ascii="Times New Roman" w:hAnsi="Times New Roman"/>
          <w:bCs/>
          <w:color w:val="212121"/>
          <w:sz w:val="32"/>
          <w:szCs w:val="32"/>
          <w:u w:val="none" w:color="212121"/>
          <w:lang w:val="es-ES_tradnl"/>
        </w:rPr>
        <w:t>Nace como fruto de un grupo de trabajo en el objetivo de garantizar la equidad en la aplicación en todas las gerencias de Canarias, aun así, se hacen alegaciones por escrito al mismo,</w:t>
      </w:r>
      <w:bookmarkStart w:id="0" w:name="_GoBack"/>
      <w:bookmarkEnd w:id="0"/>
      <w:r>
        <w:rPr>
          <w:rStyle w:val="Ninguno"/>
          <w:rFonts w:ascii="Times New Roman" w:hAnsi="Times New Roman"/>
          <w:bCs/>
          <w:color w:val="212121"/>
          <w:sz w:val="32"/>
          <w:szCs w:val="32"/>
          <w:u w:val="none" w:color="212121"/>
          <w:lang w:val="es-ES_tradnl"/>
        </w:rPr>
        <w:t xml:space="preserve"> relativas a definir exactamente que son necesidades del Servicio y a la aplicación de las sentencias firmes que se han producido en la materia. Pendiente nuevo plazo de aportaciones.</w:t>
      </w:r>
    </w:p>
    <w:p>
      <w:pPr>
        <w:pStyle w:val="Cuerpo"/>
        <w:ind w:left="708" w:hanging="0"/>
        <w:rPr>
          <w:rStyle w:val="Ninguno"/>
          <w:rFonts w:ascii="Times New Roman" w:hAnsi="Times New Roman" w:eastAsia="Times New Roman" w:cs="Times New Roman"/>
          <w:bCs/>
          <w:color w:val="212121"/>
          <w:sz w:val="32"/>
          <w:szCs w:val="32"/>
          <w:u w:val="none" w:color="212121"/>
          <w:lang w:val="es-ES_tradnl"/>
        </w:rPr>
      </w:pPr>
      <w:r>
        <w:rPr>
          <w:rFonts w:eastAsia="Times New Roman" w:cs="Times New Roman" w:ascii="Times New Roman" w:hAnsi="Times New Roman"/>
          <w:bCs/>
          <w:color w:val="212121"/>
          <w:sz w:val="32"/>
          <w:szCs w:val="32"/>
          <w:u w:val="none" w:color="212121"/>
          <w:lang w:val="es-ES_tradnl"/>
        </w:rPr>
      </w:r>
    </w:p>
    <w:p>
      <w:pPr>
        <w:pStyle w:val="Cuerpo"/>
        <w:numPr>
          <w:ilvl w:val="0"/>
          <w:numId w:val="1"/>
        </w:numPr>
        <w:ind w:left="0" w:firstLine="708"/>
        <w:rPr>
          <w:rStyle w:val="Ninguno"/>
          <w:rFonts w:ascii="Times New Roman" w:hAnsi="Times New Roman" w:eastAsia="Times New Roman" w:cs="Times New Roman"/>
          <w:bCs/>
          <w:color w:val="212121"/>
          <w:sz w:val="32"/>
          <w:szCs w:val="32"/>
          <w:u w:val="none" w:color="212121"/>
          <w:lang w:val="es-ES_tradnl"/>
        </w:rPr>
      </w:pPr>
      <w:r>
        <w:rPr>
          <w:rStyle w:val="Ninguno"/>
          <w:rFonts w:ascii="Times New Roman" w:hAnsi="Times New Roman"/>
          <w:b/>
          <w:bCs/>
          <w:color w:val="212121"/>
          <w:sz w:val="32"/>
          <w:szCs w:val="32"/>
          <w:u w:val="none" w:color="212121"/>
          <w:lang w:val="es-ES_tradnl"/>
        </w:rPr>
        <w:t>RUEGOS Y PREGUNTAS.</w:t>
      </w:r>
    </w:p>
    <w:p>
      <w:pPr>
        <w:pStyle w:val="Cuerpo"/>
        <w:rPr>
          <w:rStyle w:val="Ninguno"/>
          <w:rFonts w:ascii="Times New Roman" w:hAnsi="Times New Roman"/>
          <w:b/>
          <w:b/>
          <w:bCs/>
          <w:color w:val="212121"/>
          <w:sz w:val="32"/>
          <w:szCs w:val="32"/>
          <w:u w:val="none" w:color="212121"/>
          <w:lang w:val="es-ES_tradnl"/>
        </w:rPr>
      </w:pPr>
      <w:r>
        <w:rPr>
          <w:rFonts w:ascii="Times New Roman" w:hAnsi="Times New Roman"/>
          <w:b/>
          <w:bCs/>
          <w:color w:val="212121"/>
          <w:sz w:val="32"/>
          <w:szCs w:val="32"/>
          <w:u w:val="none" w:color="212121"/>
          <w:lang w:val="es-ES_tradnl"/>
        </w:rPr>
      </w:r>
    </w:p>
    <w:p>
      <w:pPr>
        <w:pStyle w:val="Cuerpo"/>
        <w:ind w:left="708" w:hanging="0"/>
        <w:rPr>
          <w:rStyle w:val="Ninguno"/>
          <w:rFonts w:ascii="Times New Roman" w:hAnsi="Times New Roman" w:eastAsia="Times New Roman" w:cs="Times New Roman"/>
          <w:bCs/>
          <w:color w:val="212121"/>
          <w:sz w:val="32"/>
          <w:szCs w:val="32"/>
          <w:u w:val="none" w:color="212121"/>
          <w:lang w:val="es-ES_tradnl"/>
        </w:rPr>
      </w:pPr>
      <w:r>
        <w:rPr>
          <w:rStyle w:val="Ninguno"/>
          <w:rFonts w:ascii="Times New Roman" w:hAnsi="Times New Roman"/>
          <w:b/>
          <w:bCs/>
          <w:color w:val="212121"/>
          <w:sz w:val="32"/>
          <w:szCs w:val="32"/>
          <w:u w:val="none" w:color="212121"/>
          <w:lang w:val="es-ES_tradnl"/>
        </w:rPr>
        <w:t>Intersindical Canaria plantea las siguientes preguntas:</w:t>
      </w:r>
    </w:p>
    <w:p>
      <w:pPr>
        <w:pStyle w:val="Cuerpo"/>
        <w:rPr>
          <w:rStyle w:val="Ninguno"/>
          <w:rFonts w:ascii="Times New Roman" w:hAnsi="Times New Roman" w:eastAsia="Times New Roman" w:cs="Times New Roman"/>
          <w:bCs/>
          <w:color w:val="212121"/>
          <w:sz w:val="32"/>
          <w:szCs w:val="32"/>
          <w:u w:val="none" w:color="212121"/>
          <w:lang w:val="es-ES_tradnl"/>
        </w:rPr>
      </w:pPr>
      <w:r>
        <w:rPr>
          <w:rFonts w:eastAsia="Times New Roman" w:cs="Times New Roman" w:ascii="Times New Roman" w:hAnsi="Times New Roman"/>
          <w:bCs/>
          <w:color w:val="212121"/>
          <w:sz w:val="32"/>
          <w:szCs w:val="32"/>
          <w:u w:val="none" w:color="212121"/>
          <w:lang w:val="es-ES_tradnl"/>
        </w:rPr>
      </w:r>
    </w:p>
    <w:p>
      <w:pPr>
        <w:pStyle w:val="Cuerpo"/>
        <w:numPr>
          <w:ilvl w:val="0"/>
          <w:numId w:val="2"/>
        </w:numPr>
        <w:rPr>
          <w:rStyle w:val="Ninguno"/>
          <w:rFonts w:ascii="Times New Roman" w:hAnsi="Times New Roman" w:eastAsia="Times New Roman" w:cs="Times New Roman"/>
          <w:bCs/>
          <w:color w:val="212121"/>
          <w:sz w:val="32"/>
          <w:szCs w:val="32"/>
          <w:u w:val="none" w:color="212121"/>
          <w:lang w:val="es-ES_tradnl"/>
        </w:rPr>
      </w:pPr>
      <w:r>
        <w:rPr>
          <w:rStyle w:val="Ninguno"/>
          <w:rFonts w:ascii="Times New Roman" w:hAnsi="Times New Roman"/>
          <w:bCs/>
          <w:color w:val="212121"/>
          <w:sz w:val="32"/>
          <w:szCs w:val="32"/>
          <w:u w:val="none" w:color="212121"/>
          <w:lang w:val="es-ES_tradnl"/>
        </w:rPr>
        <w:t>Desarrollo de la OPE de 2007: la toma de posesión, tanto de Auxiliares Administrativos como de Enfermeros, será antes de finalizar 2018. No contestan respecto a la OPE del HUC.</w:t>
      </w:r>
    </w:p>
    <w:p>
      <w:pPr>
        <w:pStyle w:val="Cuerpo"/>
        <w:numPr>
          <w:ilvl w:val="0"/>
          <w:numId w:val="2"/>
        </w:numPr>
        <w:rPr>
          <w:rStyle w:val="Ninguno"/>
          <w:rFonts w:ascii="Times New Roman" w:hAnsi="Times New Roman" w:eastAsia="Times New Roman" w:cs="Times New Roman"/>
          <w:bCs/>
          <w:color w:val="212121"/>
          <w:sz w:val="32"/>
          <w:szCs w:val="32"/>
          <w:u w:val="none" w:color="212121"/>
          <w:lang w:val="es-ES_tradnl"/>
        </w:rPr>
      </w:pPr>
      <w:r>
        <w:rPr>
          <w:rStyle w:val="Ninguno"/>
          <w:rFonts w:ascii="Times New Roman" w:hAnsi="Times New Roman"/>
          <w:bCs/>
          <w:color w:val="212121"/>
          <w:sz w:val="32"/>
          <w:szCs w:val="32"/>
          <w:u w:val="none" w:color="212121"/>
          <w:lang w:val="es-ES_tradnl"/>
        </w:rPr>
        <w:t>La Reivindicación de los Terapeutas Ocupacionales, relativa al  complemento salarial y planteada por Intersindical Canaria desde hace tiempo, incluso en el ámbito de la Mesa Sectorial, está en estudio. Buscan la forma de incrementar las retribuciones sin que aumente la  masa salarial, puesto que está sujeto a la ley de contención de gasto.</w:t>
      </w:r>
    </w:p>
    <w:p>
      <w:pPr>
        <w:pStyle w:val="Cuerpo"/>
        <w:numPr>
          <w:ilvl w:val="0"/>
          <w:numId w:val="2"/>
        </w:numPr>
        <w:rPr>
          <w:rStyle w:val="Ninguno"/>
          <w:rFonts w:ascii="Times New Roman" w:hAnsi="Times New Roman" w:eastAsia="Times New Roman" w:cs="Times New Roman"/>
          <w:bCs/>
          <w:color w:val="212121"/>
          <w:sz w:val="32"/>
          <w:szCs w:val="32"/>
          <w:u w:val="none" w:color="212121"/>
          <w:lang w:val="es-ES_tradnl"/>
        </w:rPr>
      </w:pPr>
      <w:r>
        <w:rPr>
          <w:rStyle w:val="Ninguno"/>
          <w:rFonts w:ascii="Times New Roman" w:hAnsi="Times New Roman"/>
          <w:bCs/>
          <w:color w:val="212121"/>
          <w:sz w:val="32"/>
          <w:szCs w:val="32"/>
          <w:u w:val="none" w:color="212121"/>
          <w:lang w:val="es-ES_tradnl"/>
        </w:rPr>
        <w:t>Reivindicación de los Psicólogos Clínicos: en vías de solución.</w:t>
      </w:r>
    </w:p>
    <w:p>
      <w:pPr>
        <w:pStyle w:val="Cuerpo"/>
        <w:numPr>
          <w:ilvl w:val="0"/>
          <w:numId w:val="2"/>
        </w:numPr>
        <w:rPr>
          <w:rStyle w:val="Ninguno"/>
          <w:rFonts w:ascii="Times New Roman" w:hAnsi="Times New Roman" w:eastAsia="Times New Roman" w:cs="Times New Roman"/>
          <w:bCs/>
          <w:color w:val="212121"/>
          <w:sz w:val="32"/>
          <w:szCs w:val="32"/>
          <w:u w:val="none" w:color="212121"/>
          <w:lang w:val="es-ES_tradnl"/>
        </w:rPr>
      </w:pPr>
      <w:r>
        <w:rPr>
          <w:rStyle w:val="Ninguno"/>
          <w:rFonts w:ascii="Times New Roman" w:hAnsi="Times New Roman"/>
          <w:bCs/>
          <w:color w:val="212121"/>
          <w:sz w:val="32"/>
          <w:szCs w:val="32"/>
          <w:u w:val="none" w:color="212121"/>
          <w:lang w:val="es-ES_tradnl"/>
        </w:rPr>
        <w:t>Mantenimiento de la vigencia de los Listados de Contratación del HUC y del Hospital Insular de Lanzarote. La respuesta de la Administración es que en Lanzarote aún no está cerrado el proceso de Integración en el SCS, y respecto al HUC, quedarían sólo para la asignación de contratación del personal laboral.</w:t>
      </w:r>
    </w:p>
    <w:p>
      <w:pPr>
        <w:pStyle w:val="Cuerpo"/>
        <w:numPr>
          <w:ilvl w:val="0"/>
          <w:numId w:val="2"/>
        </w:numPr>
        <w:rPr>
          <w:rStyle w:val="Ninguno"/>
          <w:rFonts w:ascii="Times New Roman" w:hAnsi="Times New Roman" w:eastAsia="Times New Roman" w:cs="Times New Roman"/>
          <w:bCs/>
          <w:color w:val="212121"/>
          <w:sz w:val="32"/>
          <w:szCs w:val="32"/>
          <w:u w:val="none" w:color="212121"/>
          <w:lang w:val="es-ES_tradnl"/>
        </w:rPr>
      </w:pPr>
      <w:r>
        <w:rPr>
          <w:rStyle w:val="Ninguno"/>
          <w:rFonts w:ascii="Times New Roman" w:hAnsi="Times New Roman"/>
          <w:bCs/>
          <w:color w:val="212121"/>
          <w:sz w:val="32"/>
          <w:szCs w:val="32"/>
          <w:u w:val="none" w:color="212121"/>
          <w:lang w:val="es-ES_tradnl"/>
        </w:rPr>
        <w:t>Desviación del déficit, es decir, gasto presupuestario real del SCS: sin respuesta.</w:t>
      </w:r>
    </w:p>
    <w:p>
      <w:pPr>
        <w:pStyle w:val="Cuerpo"/>
        <w:numPr>
          <w:ilvl w:val="0"/>
          <w:numId w:val="2"/>
        </w:numPr>
        <w:rPr>
          <w:rStyle w:val="Ninguno"/>
          <w:rFonts w:ascii="Times New Roman" w:hAnsi="Times New Roman" w:eastAsia="Times New Roman" w:cs="Times New Roman"/>
          <w:bCs/>
          <w:color w:val="212121"/>
          <w:sz w:val="32"/>
          <w:szCs w:val="32"/>
          <w:u w:val="none" w:color="212121"/>
          <w:lang w:val="es-ES_tradnl"/>
        </w:rPr>
      </w:pPr>
      <w:r>
        <w:rPr>
          <w:rStyle w:val="Ninguno"/>
          <w:rFonts w:ascii="Times New Roman" w:hAnsi="Times New Roman"/>
          <w:bCs/>
          <w:color w:val="212121"/>
          <w:sz w:val="32"/>
          <w:szCs w:val="32"/>
          <w:u w:val="none" w:color="212121"/>
          <w:lang w:val="es-ES_tradnl"/>
        </w:rPr>
        <w:t>Corrección de las graves deficiencias estructurales del HUC y Área norte de Tenerife: sin respuesta.</w:t>
      </w:r>
    </w:p>
    <w:p>
      <w:pPr>
        <w:pStyle w:val="Cuerpo"/>
        <w:rPr>
          <w:rStyle w:val="Ninguno"/>
          <w:rFonts w:ascii="Times New Roman" w:hAnsi="Times New Roman"/>
          <w:bCs/>
          <w:color w:val="212121"/>
          <w:sz w:val="32"/>
          <w:szCs w:val="32"/>
          <w:u w:val="none" w:color="212121"/>
          <w:lang w:val="es-ES_tradnl"/>
        </w:rPr>
      </w:pPr>
      <w:r>
        <w:rPr>
          <w:rFonts w:ascii="Times New Roman" w:hAnsi="Times New Roman"/>
          <w:bCs/>
          <w:color w:val="212121"/>
          <w:sz w:val="32"/>
          <w:szCs w:val="32"/>
          <w:u w:val="none" w:color="212121"/>
          <w:lang w:val="es-ES_tradnl"/>
        </w:rPr>
      </w:r>
    </w:p>
    <w:p>
      <w:pPr>
        <w:pStyle w:val="Cuerpo"/>
        <w:ind w:left="360" w:hanging="0"/>
        <w:rPr>
          <w:rStyle w:val="Ninguno"/>
          <w:rFonts w:ascii="Times New Roman" w:hAnsi="Times New Roman"/>
          <w:b/>
          <w:b/>
          <w:bCs/>
          <w:color w:val="212121"/>
          <w:sz w:val="32"/>
          <w:szCs w:val="32"/>
          <w:u w:val="none" w:color="212121"/>
          <w:lang w:val="es-ES_tradnl"/>
        </w:rPr>
      </w:pPr>
      <w:r>
        <w:rPr>
          <w:rStyle w:val="Ninguno"/>
          <w:rFonts w:ascii="Times New Roman" w:hAnsi="Times New Roman"/>
          <w:b/>
          <w:bCs/>
          <w:color w:val="212121"/>
          <w:sz w:val="32"/>
          <w:szCs w:val="32"/>
          <w:u w:val="none" w:color="212121"/>
          <w:lang w:val="es-ES_tradnl"/>
        </w:rPr>
        <w:t>Preguntas otras Organizaciones:</w:t>
      </w:r>
    </w:p>
    <w:p>
      <w:pPr>
        <w:pStyle w:val="Cuerpo"/>
        <w:ind w:left="360" w:hanging="0"/>
        <w:rPr>
          <w:rStyle w:val="Ninguno"/>
          <w:rFonts w:ascii="Times New Roman" w:hAnsi="Times New Roman"/>
          <w:bCs/>
          <w:color w:val="212121"/>
          <w:sz w:val="32"/>
          <w:szCs w:val="32"/>
          <w:u w:val="none" w:color="212121"/>
          <w:lang w:val="es-ES_tradnl"/>
        </w:rPr>
      </w:pPr>
      <w:r>
        <w:rPr>
          <w:rFonts w:ascii="Times New Roman" w:hAnsi="Times New Roman"/>
          <w:bCs/>
          <w:color w:val="212121"/>
          <w:sz w:val="32"/>
          <w:szCs w:val="32"/>
          <w:u w:val="none" w:color="212121"/>
          <w:lang w:val="es-ES_tradnl"/>
        </w:rPr>
      </w:r>
    </w:p>
    <w:p>
      <w:pPr>
        <w:pStyle w:val="Cuerpo"/>
        <w:numPr>
          <w:ilvl w:val="0"/>
          <w:numId w:val="3"/>
        </w:numPr>
        <w:rPr>
          <w:rStyle w:val="Ninguno"/>
          <w:rFonts w:ascii="Times New Roman" w:hAnsi="Times New Roman" w:eastAsia="Times New Roman" w:cs="Times New Roman"/>
          <w:bCs/>
          <w:color w:val="212121"/>
          <w:sz w:val="32"/>
          <w:szCs w:val="32"/>
          <w:u w:val="none" w:color="212121"/>
          <w:lang w:val="es-ES_tradnl"/>
        </w:rPr>
      </w:pPr>
      <w:r>
        <w:rPr>
          <w:rStyle w:val="Ninguno"/>
          <w:rFonts w:eastAsia="Times New Roman" w:cs="Times New Roman" w:ascii="Times New Roman" w:hAnsi="Times New Roman"/>
          <w:bCs/>
          <w:color w:val="212121"/>
          <w:sz w:val="32"/>
          <w:szCs w:val="32"/>
          <w:u w:val="none" w:color="212121"/>
          <w:lang w:val="es-ES_tradnl"/>
        </w:rPr>
        <w:t>La acreditación de la prescripción enfermera se certificará con un año de servicios prestados en el SCS.</w:t>
      </w:r>
    </w:p>
    <w:p>
      <w:pPr>
        <w:pStyle w:val="Cuerpo"/>
        <w:numPr>
          <w:ilvl w:val="0"/>
          <w:numId w:val="3"/>
        </w:numPr>
        <w:rPr/>
      </w:pPr>
      <w:r>
        <w:rPr>
          <w:rStyle w:val="Ninguno"/>
          <w:rFonts w:eastAsia="Times New Roman" w:cs="Times New Roman" w:ascii="Times New Roman" w:hAnsi="Times New Roman"/>
          <w:bCs/>
          <w:color w:val="212121"/>
          <w:sz w:val="32"/>
          <w:szCs w:val="32"/>
          <w:u w:val="none" w:color="212121"/>
          <w:lang w:val="es-ES_tradnl"/>
        </w:rPr>
        <w:t>Las bases genéricas y específicas de la OPE 2007, servirán de guía para la nueva OPE, debiendo trabajar el baremo. Los temarios serán los mismos, con actualizaciones.</w:t>
      </w:r>
    </w:p>
    <w:p>
      <w:pPr>
        <w:pStyle w:val="Cuerpo"/>
        <w:rPr>
          <w:rStyle w:val="Ninguno"/>
          <w:rFonts w:ascii="Times New Roman" w:hAnsi="Times New Roman" w:eastAsia="Times New Roman" w:cs="Times New Roman"/>
          <w:bCs/>
          <w:color w:val="212121"/>
          <w:sz w:val="32"/>
          <w:szCs w:val="32"/>
          <w:u w:val="none" w:color="212121"/>
          <w:lang w:val="es-ES_tradnl"/>
        </w:rPr>
      </w:pPr>
      <w:r>
        <w:rPr>
          <w:rFonts w:eastAsia="Times New Roman" w:cs="Times New Roman" w:ascii="Times New Roman" w:hAnsi="Times New Roman"/>
          <w:bCs/>
          <w:color w:val="212121"/>
          <w:sz w:val="32"/>
          <w:szCs w:val="32"/>
          <w:u w:val="none" w:color="212121"/>
          <w:lang w:val="es-ES_tradnl"/>
        </w:rPr>
      </w:r>
    </w:p>
    <w:p>
      <w:pPr>
        <w:pStyle w:val="Cuerpo"/>
        <w:rPr/>
      </w:pPr>
      <w:r>
        <w:rPr>
          <w:rStyle w:val="Ninguno"/>
          <w:rFonts w:ascii="Times New Roman" w:hAnsi="Times New Roman"/>
          <w:bCs/>
          <w:sz w:val="32"/>
          <w:szCs w:val="32"/>
          <w:lang w:val="es-ES_tradnl"/>
        </w:rPr>
        <w:t xml:space="preserve">Canarias, 14 de Noviembre </w:t>
      </w:r>
      <w:r>
        <w:rPr>
          <w:rStyle w:val="Ninguno"/>
          <w:rFonts w:ascii="Times New Roman" w:hAnsi="Times New Roman"/>
          <w:bCs/>
          <w:sz w:val="32"/>
          <w:szCs w:val="32"/>
          <w:lang w:val="pt-PT"/>
        </w:rPr>
        <w:t>de 2018.</w:t>
      </w:r>
    </w:p>
    <w:p>
      <w:pPr>
        <w:pStyle w:val="Cuerpo"/>
        <w:spacing w:lineRule="auto" w:line="276"/>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uerpo"/>
        <w:spacing w:lineRule="auto" w:line="276"/>
        <w:ind w:firstLine="708"/>
        <w:rPr>
          <w:rStyle w:val="Ninguno"/>
          <w:rFonts w:ascii="Times New Roman" w:hAnsi="Times New Roman" w:eastAsia="Times New Roman" w:cs="Times New Roman"/>
          <w:sz w:val="28"/>
          <w:szCs w:val="28"/>
        </w:rPr>
      </w:pPr>
      <w:r>
        <w:rPr>
          <w:rStyle w:val="Ninguno"/>
          <w:rFonts w:eastAsia="Times New Roman" w:cs="Times New Roman" w:ascii="Times New Roman" w:hAnsi="Times New Roman"/>
          <w:sz w:val="28"/>
          <w:szCs w:val="28"/>
        </w:rPr>
        <w:tab/>
        <w:tab/>
        <w:tab/>
        <w:tab/>
      </w:r>
    </w:p>
    <w:p>
      <w:pPr>
        <w:pStyle w:val="Cuerpo"/>
        <w:spacing w:lineRule="auto" w:line="276"/>
        <w:ind w:firstLine="708"/>
        <w:jc w:val="center"/>
        <w:rPr>
          <w:rStyle w:val="Ninguno"/>
          <w:rFonts w:ascii="Times New Roman" w:hAnsi="Times New Roman"/>
          <w:sz w:val="32"/>
          <w:szCs w:val="32"/>
          <w:lang w:val="es-ES_tradnl"/>
        </w:rPr>
      </w:pPr>
      <w:r>
        <w:rPr>
          <w:rStyle w:val="Ninguno"/>
          <w:rFonts w:ascii="Times New Roman" w:hAnsi="Times New Roman"/>
          <w:sz w:val="32"/>
          <w:szCs w:val="32"/>
          <w:lang w:val="es-ES_tradnl"/>
        </w:rPr>
        <w:t>Federación Nacional de Salud</w:t>
      </w:r>
    </w:p>
    <w:p>
      <w:pPr>
        <w:pStyle w:val="Cuerpo"/>
        <w:spacing w:lineRule="auto" w:line="276"/>
        <w:jc w:val="center"/>
        <w:rPr/>
      </w:pPr>
      <w:r>
        <w:rPr>
          <w:rStyle w:val="Ninguno"/>
          <w:rFonts w:ascii="Times New Roman" w:hAnsi="Times New Roman"/>
          <w:i/>
          <w:iCs/>
          <w:sz w:val="18"/>
          <w:szCs w:val="18"/>
        </w:rPr>
        <w:t>- Organizaci</w:t>
      </w:r>
      <w:r>
        <w:rPr>
          <w:rStyle w:val="Ninguno"/>
          <w:rFonts w:ascii="Times New Roman" w:hAnsi="Times New Roman"/>
          <w:i/>
          <w:iCs/>
          <w:sz w:val="18"/>
          <w:szCs w:val="18"/>
          <w:lang w:val="es-ES_tradnl"/>
        </w:rPr>
        <w:t>ón No Gubernamental para la protección de los derechos de los trabajadores y usuarios de la Sanidad Canaria-</w:t>
      </w:r>
    </w:p>
    <w:p>
      <w:pPr>
        <w:pStyle w:val="Cuerpo"/>
        <w:spacing w:lineRule="auto" w:line="276"/>
        <w:jc w:val="center"/>
        <w:rPr>
          <w:rStyle w:val="Ninguno"/>
          <w:rFonts w:ascii="Times New Roman" w:hAnsi="Times New Roman"/>
          <w:i/>
          <w:i/>
          <w:iCs/>
          <w:sz w:val="18"/>
          <w:szCs w:val="18"/>
          <w:lang w:val="es-ES_tradnl"/>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6120130" cy="1530350"/>
            <wp:effectExtent l="0" t="0" r="0" b="0"/>
            <wp:wrapSquare wrapText="largest"/>
            <wp:docPr id="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descr=""/>
                    <pic:cNvPicPr>
                      <a:picLocks noChangeAspect="1" noChangeArrowheads="1"/>
                    </pic:cNvPicPr>
                  </pic:nvPicPr>
                  <pic:blipFill>
                    <a:blip r:embed="rId4"/>
                    <a:stretch>
                      <a:fillRect/>
                    </a:stretch>
                  </pic:blipFill>
                  <pic:spPr bwMode="auto">
                    <a:xfrm>
                      <a:off x="0" y="0"/>
                      <a:ext cx="6120130" cy="1530350"/>
                    </a:xfrm>
                    <a:prstGeom prst="rect">
                      <a:avLst/>
                    </a:prstGeom>
                  </pic:spPr>
                </pic:pic>
              </a:graphicData>
            </a:graphic>
          </wp:anchor>
        </w:drawing>
      </w:r>
    </w:p>
    <w:sectPr>
      <w:headerReference w:type="default" r:id="rId5"/>
      <w:footerReference w:type="default" r:id="rId6"/>
      <w:type w:val="nextPage"/>
      <w:pgSz w:w="11906" w:h="16838"/>
      <w:pgMar w:left="1134" w:right="1134" w:header="709" w:top="851" w:footer="709"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roman"/>
    <w:pitch w:val="variable"/>
  </w:font>
  <w:font w:name="Calibri">
    <w:charset w:val="00"/>
    <w:family w:val="roman"/>
    <w:pitch w:val="variable"/>
  </w:font>
  <w:font w:name="Arial">
    <w:charset w:val="00"/>
    <w:family w:val="auto"/>
    <w:pitch w:val="default"/>
  </w:font>
  <w:font w:name="Tahoma">
    <w:charset w:val="00"/>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ypi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sz w:val="32"/>
        <w:b/>
        <w:rFonts w:ascii="Times New Roman" w:hAnsi="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suppressAutoHyphens w:val="false"/>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nlacedeInternet">
    <w:name w:val="Enlace de Internet"/>
    <w:rPr>
      <w:u w:val="single"/>
    </w:rPr>
  </w:style>
  <w:style w:type="character" w:styleId="Ninguno" w:customStyle="1">
    <w:name w:val="Ninguno"/>
    <w:qFormat/>
    <w:rPr>
      <w:lang w:val="de-DE"/>
    </w:rPr>
  </w:style>
  <w:style w:type="character" w:styleId="ListLabel1">
    <w:name w:val="ListLabel 1"/>
    <w:qFormat/>
    <w:rPr>
      <w:rFonts w:ascii="Times New Roman" w:hAnsi="Times New Roman"/>
      <w:b/>
      <w:sz w:val="3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customStyle="1">
    <w:name w:val="Cabecera y pie"/>
    <w:qFormat/>
    <w:pPr>
      <w:widowControl/>
      <w:tabs>
        <w:tab w:val="clear" w:pos="708"/>
        <w:tab w:val="right" w:pos="9020" w:leader="none"/>
      </w:tabs>
      <w:bidi w:val="0"/>
      <w:jc w:val="left"/>
    </w:pPr>
    <w:rPr>
      <w:rFonts w:ascii="Helvetica" w:hAnsi="Helvetica" w:cs="Arial Unicode MS" w:eastAsia="Arial Unicode MS"/>
      <w:color w:val="000000"/>
      <w:kern w:val="0"/>
      <w:sz w:val="24"/>
      <w:szCs w:val="24"/>
      <w:lang w:val="es-ES" w:eastAsia="es-ES" w:bidi="ar-SA"/>
    </w:rPr>
  </w:style>
  <w:style w:type="paragraph" w:styleId="Piedepgina">
    <w:name w:val="Footer"/>
    <w:basedOn w:val="Normal"/>
    <w:pPr>
      <w:widowControl/>
      <w:tabs>
        <w:tab w:val="clear" w:pos="708"/>
        <w:tab w:val="center" w:pos="4252" w:leader="none"/>
        <w:tab w:val="right" w:pos="8504" w:leader="none"/>
      </w:tabs>
      <w:bidi w:val="0"/>
      <w:jc w:val="both"/>
    </w:pPr>
    <w:rPr>
      <w:rFonts w:ascii="Calibri" w:hAnsi="Calibri" w:eastAsia="Calibri" w:cs="Calibri"/>
      <w:color w:val="000000"/>
      <w:sz w:val="22"/>
      <w:szCs w:val="22"/>
      <w:u w:val="none" w:color="000000"/>
      <w:lang w:val="es-ES_tradnl"/>
    </w:rPr>
  </w:style>
  <w:style w:type="paragraph" w:styleId="Cuerpo" w:customStyle="1">
    <w:name w:val="Cuerpo"/>
    <w:qFormat/>
    <w:pPr>
      <w:widowControl/>
      <w:bidi w:val="0"/>
      <w:jc w:val="both"/>
    </w:pPr>
    <w:rPr>
      <w:rFonts w:ascii="Calibri" w:hAnsi="Calibri" w:eastAsia="Calibri" w:cs="Calibri"/>
      <w:color w:val="000000"/>
      <w:kern w:val="0"/>
      <w:sz w:val="22"/>
      <w:szCs w:val="22"/>
      <w:u w:val="none" w:color="000000"/>
      <w:lang w:val="es-ES" w:eastAsia="es-ES" w:bidi="ar-SA"/>
    </w:rPr>
  </w:style>
  <w:style w:type="paragraph" w:styleId="NormalWeb">
    <w:name w:val="Normal (Web)"/>
    <w:qFormat/>
    <w:pPr>
      <w:widowControl/>
      <w:bidi w:val="0"/>
      <w:spacing w:before="100" w:after="100"/>
      <w:jc w:val="left"/>
    </w:pPr>
    <w:rPr>
      <w:rFonts w:cs="Arial Unicode MS" w:ascii="Times New Roman" w:hAnsi="Times New Roman" w:eastAsia="Arial Unicode MS"/>
      <w:color w:val="000000"/>
      <w:kern w:val="0"/>
      <w:sz w:val="24"/>
      <w:szCs w:val="24"/>
      <w:u w:val="none" w:color="000000"/>
      <w:lang w:val="es-ES_tradnl" w:eastAsia="es-ES" w:bidi="ar-SA"/>
    </w:rPr>
  </w:style>
  <w:style w:type="paragraph" w:styleId="Cabecera">
    <w:name w:val="Head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LibreOffice/6.1.2.1$Windows_X86_64 LibreOffice_project/65905a128db06ba48db947242809d14d3f9a93fe</Application>
  <Pages>3</Pages>
  <Words>782</Words>
  <Characters>4143</Characters>
  <CharactersWithSpaces>4945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2018-11-15T12:13:00Z</dcterms:created>
  <dc:creator>afiliados</dc:creator>
  <dc:description/>
  <dc:language>es-ES</dc:language>
  <cp:lastModifiedBy/>
  <dcterms:modified xsi:type="dcterms:W3CDTF">2018-11-15T18:57:15Z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