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853A9" w:rsidRDefault="00E853A9">
      <w:pPr>
        <w:ind w:left="282"/>
        <w:jc w:val="center"/>
        <w:rPr>
          <w:rFonts w:ascii="Arial" w:hAnsi="Arial" w:cs="Arial"/>
          <w:color w:val="000000"/>
          <w:sz w:val="36"/>
          <w:szCs w:val="36"/>
        </w:rPr>
      </w:pPr>
    </w:p>
    <w:p w:rsidR="007D5397" w:rsidRDefault="007D5397">
      <w:pPr>
        <w:ind w:left="282"/>
        <w:jc w:val="center"/>
        <w:rPr>
          <w:rFonts w:ascii="Arial" w:hAnsi="Arial" w:cs="Arial"/>
          <w:color w:val="000000"/>
          <w:sz w:val="36"/>
          <w:szCs w:val="36"/>
        </w:rPr>
      </w:pPr>
    </w:p>
    <w:p w:rsidR="00067FA6" w:rsidRPr="00024AB6" w:rsidRDefault="00E853A9">
      <w:pPr>
        <w:ind w:left="282"/>
        <w:jc w:val="center"/>
        <w:rPr>
          <w:rFonts w:ascii="Arial" w:hAnsi="Arial" w:cs="Arial"/>
          <w:b/>
          <w:i/>
          <w:color w:val="000000"/>
          <w:sz w:val="32"/>
          <w:szCs w:val="32"/>
          <w:u w:val="single"/>
        </w:rPr>
      </w:pPr>
      <w:r w:rsidRPr="00024AB6">
        <w:rPr>
          <w:rFonts w:ascii="Arial" w:hAnsi="Arial" w:cs="Arial"/>
          <w:b/>
          <w:i/>
          <w:color w:val="000000"/>
          <w:sz w:val="32"/>
          <w:szCs w:val="32"/>
          <w:u w:val="single"/>
        </w:rPr>
        <w:t>AUXILIAR DE ENFERMERÍA</w:t>
      </w:r>
    </w:p>
    <w:p w:rsidR="00E853A9" w:rsidRPr="00024AB6" w:rsidRDefault="00E853A9">
      <w:pPr>
        <w:ind w:left="282"/>
        <w:jc w:val="center"/>
        <w:rPr>
          <w:rFonts w:ascii="Arial" w:hAnsi="Arial" w:cs="Arial"/>
          <w:b/>
          <w:i/>
          <w:color w:val="000000"/>
          <w:sz w:val="32"/>
          <w:szCs w:val="32"/>
          <w:u w:val="single"/>
        </w:rPr>
      </w:pPr>
    </w:p>
    <w:p w:rsidR="00E853A9" w:rsidRPr="00E853A9" w:rsidRDefault="00E853A9" w:rsidP="00E853A9">
      <w:pPr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E853A9">
        <w:rPr>
          <w:rFonts w:ascii="Arial" w:hAnsi="Arial" w:cs="Arial"/>
          <w:b/>
          <w:color w:val="000000"/>
          <w:sz w:val="32"/>
          <w:szCs w:val="32"/>
        </w:rPr>
        <w:t>RELACIÓN PROVISIONAL ASPIRANTES QUE HAN SUPERADO LA FASE DE OPOSICIÓN</w:t>
      </w:r>
      <w:r>
        <w:rPr>
          <w:rFonts w:ascii="Arial" w:hAnsi="Arial" w:cs="Arial"/>
          <w:b/>
          <w:color w:val="000000"/>
          <w:sz w:val="32"/>
          <w:szCs w:val="32"/>
        </w:rPr>
        <w:t>.</w:t>
      </w:r>
    </w:p>
    <w:p w:rsidR="00E853A9" w:rsidRDefault="00E853A9" w:rsidP="00E853A9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E853A9" w:rsidRDefault="00E853A9" w:rsidP="00E853A9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Publicada con fecha 14 de julio </w:t>
      </w:r>
      <w:r w:rsidRPr="00E853A9">
        <w:rPr>
          <w:rFonts w:ascii="Arial" w:hAnsi="Arial" w:cs="Arial"/>
          <w:color w:val="000000"/>
          <w:sz w:val="26"/>
          <w:szCs w:val="26"/>
        </w:rPr>
        <w:t>2017</w:t>
      </w:r>
      <w:r>
        <w:rPr>
          <w:rFonts w:ascii="Arial" w:hAnsi="Arial" w:cs="Arial"/>
          <w:color w:val="000000"/>
          <w:sz w:val="26"/>
          <w:szCs w:val="26"/>
        </w:rPr>
        <w:t>,</w:t>
      </w:r>
      <w:r w:rsidRPr="00E853A9">
        <w:rPr>
          <w:rFonts w:ascii="Arial" w:hAnsi="Arial" w:cs="Arial"/>
          <w:color w:val="000000"/>
          <w:sz w:val="26"/>
          <w:szCs w:val="26"/>
        </w:rPr>
        <w:t xml:space="preserve"> la relación provisional de aspirantes que han superado la fase de oposición con indicación de la puntuación </w:t>
      </w:r>
      <w:r>
        <w:rPr>
          <w:rFonts w:ascii="Arial" w:hAnsi="Arial" w:cs="Arial"/>
          <w:color w:val="000000"/>
          <w:sz w:val="26"/>
          <w:szCs w:val="26"/>
        </w:rPr>
        <w:t>obtenida en la fase de concurso, en la categoría de Auxiliar de Enfermería-OPE 2007.</w:t>
      </w:r>
      <w:r w:rsidRPr="00E853A9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E853A9" w:rsidRPr="00E853A9" w:rsidRDefault="00E853A9" w:rsidP="00E853A9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E853A9" w:rsidRDefault="00E853A9" w:rsidP="00E853A9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E853A9">
        <w:rPr>
          <w:rFonts w:ascii="Arial" w:hAnsi="Arial" w:cs="Arial"/>
          <w:color w:val="000000"/>
          <w:sz w:val="26"/>
          <w:szCs w:val="26"/>
        </w:rPr>
        <w:t>El plazo para interponer reclamaciones será de 10 días hábiles a contar desde el día siguiente a la publicación</w:t>
      </w:r>
      <w:r>
        <w:rPr>
          <w:rFonts w:ascii="Arial" w:hAnsi="Arial" w:cs="Arial"/>
          <w:color w:val="000000"/>
          <w:sz w:val="26"/>
          <w:szCs w:val="26"/>
        </w:rPr>
        <w:t>,</w:t>
      </w:r>
      <w:r w:rsidRPr="00E853A9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 xml:space="preserve">que será </w:t>
      </w:r>
      <w:r w:rsidRPr="00E853A9">
        <w:rPr>
          <w:rFonts w:ascii="Arial" w:hAnsi="Arial" w:cs="Arial"/>
          <w:color w:val="000000"/>
          <w:sz w:val="26"/>
          <w:szCs w:val="26"/>
        </w:rPr>
        <w:t xml:space="preserve">del 17 de julio al 28 de julio de 2017 </w:t>
      </w:r>
      <w:r>
        <w:rPr>
          <w:rFonts w:ascii="Arial" w:hAnsi="Arial" w:cs="Arial"/>
          <w:color w:val="000000"/>
          <w:sz w:val="26"/>
          <w:szCs w:val="26"/>
        </w:rPr>
        <w:t>-</w:t>
      </w:r>
      <w:r w:rsidRPr="00E853A9">
        <w:rPr>
          <w:rFonts w:ascii="Arial" w:hAnsi="Arial" w:cs="Arial"/>
          <w:color w:val="000000"/>
          <w:sz w:val="26"/>
          <w:szCs w:val="26"/>
        </w:rPr>
        <w:t>ambos inclusive</w:t>
      </w:r>
      <w:r>
        <w:rPr>
          <w:rFonts w:ascii="Arial" w:hAnsi="Arial" w:cs="Arial"/>
          <w:color w:val="000000"/>
          <w:sz w:val="26"/>
          <w:szCs w:val="26"/>
        </w:rPr>
        <w:t>-</w:t>
      </w:r>
      <w:r w:rsidRPr="00E853A9">
        <w:rPr>
          <w:rFonts w:ascii="Arial" w:hAnsi="Arial" w:cs="Arial"/>
          <w:color w:val="000000"/>
          <w:sz w:val="26"/>
          <w:szCs w:val="26"/>
        </w:rPr>
        <w:t xml:space="preserve">. </w:t>
      </w:r>
    </w:p>
    <w:p w:rsidR="00E853A9" w:rsidRDefault="00E853A9" w:rsidP="00E853A9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E853A9" w:rsidRPr="00E853A9" w:rsidRDefault="00E853A9" w:rsidP="00E853A9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En el siguiente enlace puede consultar toda la información:</w:t>
      </w:r>
    </w:p>
    <w:p w:rsidR="00E853A9" w:rsidRPr="00E853A9" w:rsidRDefault="00E853A9" w:rsidP="00E853A9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E853A9" w:rsidRDefault="00C17482" w:rsidP="00E853A9">
      <w:pPr>
        <w:jc w:val="both"/>
        <w:rPr>
          <w:rFonts w:ascii="Arial" w:hAnsi="Arial" w:cs="Arial"/>
          <w:color w:val="000000"/>
          <w:sz w:val="26"/>
          <w:szCs w:val="26"/>
        </w:rPr>
      </w:pPr>
      <w:hyperlink r:id="rId7" w:history="1">
        <w:r w:rsidR="00E853A9" w:rsidRPr="00380850">
          <w:rPr>
            <w:rStyle w:val="Hipervnculo"/>
            <w:rFonts w:ascii="Arial" w:hAnsi="Arial" w:cs="Arial"/>
            <w:sz w:val="26"/>
            <w:szCs w:val="26"/>
          </w:rPr>
          <w:t>http://www3.gobiernodecanarias.org/sanidad/scs/content/5eb4cfe1-6880-11e7-9c83-97a5ebed2fed/Resolución%20Con%2BNotas_14072017.pdf</w:t>
        </w:r>
      </w:hyperlink>
    </w:p>
    <w:p w:rsidR="00E853A9" w:rsidRDefault="00E853A9" w:rsidP="00E853A9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E853A9" w:rsidRDefault="00E853A9" w:rsidP="00E853A9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También puede para </w:t>
      </w:r>
      <w:r w:rsidRPr="00E853A9">
        <w:rPr>
          <w:rFonts w:ascii="Arial" w:hAnsi="Arial" w:cs="Arial"/>
          <w:color w:val="000000"/>
          <w:sz w:val="26"/>
          <w:szCs w:val="26"/>
        </w:rPr>
        <w:t>más información</w:t>
      </w:r>
      <w:r>
        <w:rPr>
          <w:rFonts w:ascii="Arial" w:hAnsi="Arial" w:cs="Arial"/>
          <w:color w:val="000000"/>
          <w:sz w:val="26"/>
          <w:szCs w:val="26"/>
        </w:rPr>
        <w:t>,</w:t>
      </w:r>
      <w:r w:rsidRPr="00E853A9">
        <w:rPr>
          <w:rFonts w:ascii="Arial" w:hAnsi="Arial" w:cs="Arial"/>
          <w:color w:val="000000"/>
          <w:sz w:val="26"/>
          <w:szCs w:val="26"/>
        </w:rPr>
        <w:t xml:space="preserve"> consulta</w:t>
      </w:r>
      <w:r>
        <w:rPr>
          <w:rFonts w:ascii="Arial" w:hAnsi="Arial" w:cs="Arial"/>
          <w:color w:val="000000"/>
          <w:sz w:val="26"/>
          <w:szCs w:val="26"/>
        </w:rPr>
        <w:t>r</w:t>
      </w:r>
      <w:r w:rsidRPr="00E853A9">
        <w:rPr>
          <w:rFonts w:ascii="Arial" w:hAnsi="Arial" w:cs="Arial"/>
          <w:color w:val="000000"/>
          <w:sz w:val="26"/>
          <w:szCs w:val="26"/>
        </w:rPr>
        <w:t xml:space="preserve"> nuestra</w:t>
      </w:r>
      <w:r>
        <w:rPr>
          <w:rFonts w:ascii="Arial" w:hAnsi="Arial" w:cs="Arial"/>
          <w:color w:val="000000"/>
          <w:sz w:val="26"/>
          <w:szCs w:val="26"/>
        </w:rPr>
        <w:t xml:space="preserve"> página</w:t>
      </w:r>
      <w:r w:rsidRPr="00E853A9">
        <w:rPr>
          <w:rFonts w:ascii="Arial" w:hAnsi="Arial" w:cs="Arial"/>
          <w:color w:val="000000"/>
          <w:sz w:val="26"/>
          <w:szCs w:val="26"/>
        </w:rPr>
        <w:t xml:space="preserve"> web: </w:t>
      </w:r>
      <w:r w:rsidR="007D5397">
        <w:rPr>
          <w:rFonts w:ascii="Arial" w:hAnsi="Arial" w:cs="Arial"/>
          <w:color w:val="000000"/>
          <w:sz w:val="26"/>
          <w:szCs w:val="26"/>
        </w:rPr>
        <w:t xml:space="preserve">    </w:t>
      </w:r>
      <w:hyperlink r:id="rId8" w:history="1">
        <w:r w:rsidRPr="00380850">
          <w:rPr>
            <w:rStyle w:val="Hipervnculo"/>
            <w:rFonts w:ascii="Arial" w:hAnsi="Arial" w:cs="Arial"/>
            <w:sz w:val="26"/>
            <w:szCs w:val="26"/>
          </w:rPr>
          <w:t>http://www.intersindicalsalud.org/</w:t>
        </w:r>
      </w:hyperlink>
    </w:p>
    <w:p w:rsidR="00E853A9" w:rsidRPr="00E853A9" w:rsidRDefault="00E853A9" w:rsidP="00E853A9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E853A9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E853A9" w:rsidRPr="00E853A9" w:rsidRDefault="00E853A9" w:rsidP="00E853A9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Y si lo desea puede </w:t>
      </w:r>
      <w:r w:rsidRPr="00E853A9">
        <w:rPr>
          <w:rFonts w:ascii="Arial" w:hAnsi="Arial" w:cs="Arial"/>
          <w:color w:val="000000"/>
          <w:sz w:val="26"/>
          <w:szCs w:val="26"/>
        </w:rPr>
        <w:t>contacta</w:t>
      </w:r>
      <w:r>
        <w:rPr>
          <w:rFonts w:ascii="Arial" w:hAnsi="Arial" w:cs="Arial"/>
          <w:color w:val="000000"/>
          <w:sz w:val="26"/>
          <w:szCs w:val="26"/>
        </w:rPr>
        <w:t>r</w:t>
      </w:r>
      <w:r w:rsidRPr="00E853A9">
        <w:rPr>
          <w:rFonts w:ascii="Arial" w:hAnsi="Arial" w:cs="Arial"/>
          <w:color w:val="000000"/>
          <w:sz w:val="26"/>
          <w:szCs w:val="26"/>
        </w:rPr>
        <w:t xml:space="preserve"> con nuestros delegados</w:t>
      </w:r>
      <w:r>
        <w:rPr>
          <w:rFonts w:ascii="Arial" w:hAnsi="Arial" w:cs="Arial"/>
          <w:color w:val="000000"/>
          <w:sz w:val="26"/>
          <w:szCs w:val="26"/>
        </w:rPr>
        <w:t>-as sindicales en nuestras Secciones Sindicales.</w:t>
      </w:r>
    </w:p>
    <w:p w:rsidR="00E853A9" w:rsidRPr="00E853A9" w:rsidRDefault="00E853A9" w:rsidP="00E853A9">
      <w:pPr>
        <w:jc w:val="both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p w:rsidR="00547CBA" w:rsidRDefault="00E853A9" w:rsidP="00E853A9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NOTA: E</w:t>
      </w:r>
      <w:r w:rsidRPr="00E853A9">
        <w:rPr>
          <w:rFonts w:ascii="Arial" w:hAnsi="Arial" w:cs="Arial"/>
          <w:color w:val="000000"/>
          <w:sz w:val="26"/>
          <w:szCs w:val="26"/>
        </w:rPr>
        <w:t>l listado está por orden alfabético</w:t>
      </w:r>
      <w:r>
        <w:rPr>
          <w:rFonts w:ascii="Arial" w:hAnsi="Arial" w:cs="Arial"/>
          <w:color w:val="000000"/>
          <w:sz w:val="26"/>
          <w:szCs w:val="26"/>
        </w:rPr>
        <w:t>,</w:t>
      </w:r>
      <w:r w:rsidRPr="00E853A9">
        <w:rPr>
          <w:rFonts w:ascii="Arial" w:hAnsi="Arial" w:cs="Arial"/>
          <w:color w:val="000000"/>
          <w:sz w:val="26"/>
          <w:szCs w:val="26"/>
        </w:rPr>
        <w:t xml:space="preserve"> pero hemos detectado fallos en la relación de los mismos</w:t>
      </w:r>
      <w:r>
        <w:rPr>
          <w:rFonts w:ascii="Arial" w:hAnsi="Arial" w:cs="Arial"/>
          <w:color w:val="000000"/>
          <w:sz w:val="26"/>
          <w:szCs w:val="26"/>
        </w:rPr>
        <w:t xml:space="preserve">, así que </w:t>
      </w:r>
      <w:r w:rsidRPr="00E853A9">
        <w:rPr>
          <w:rFonts w:ascii="Arial" w:hAnsi="Arial" w:cs="Arial"/>
          <w:color w:val="000000"/>
          <w:sz w:val="26"/>
          <w:szCs w:val="26"/>
        </w:rPr>
        <w:t>rec</w:t>
      </w:r>
      <w:r>
        <w:rPr>
          <w:rFonts w:ascii="Arial" w:hAnsi="Arial" w:cs="Arial"/>
          <w:color w:val="000000"/>
          <w:sz w:val="26"/>
          <w:szCs w:val="26"/>
        </w:rPr>
        <w:t>omendamos buscar bien s</w:t>
      </w:r>
      <w:r w:rsidRPr="00E853A9">
        <w:rPr>
          <w:rFonts w:ascii="Arial" w:hAnsi="Arial" w:cs="Arial"/>
          <w:color w:val="000000"/>
          <w:sz w:val="26"/>
          <w:szCs w:val="26"/>
        </w:rPr>
        <w:t>u nombre.</w:t>
      </w:r>
    </w:p>
    <w:p w:rsidR="00547CBA" w:rsidRPr="00143202" w:rsidRDefault="00547CBA">
      <w:pPr>
        <w:jc w:val="both"/>
        <w:rPr>
          <w:rFonts w:ascii="Arial" w:hAnsi="Arial" w:cs="Arial"/>
          <w:color w:val="000000"/>
          <w:sz w:val="36"/>
          <w:szCs w:val="36"/>
        </w:rPr>
      </w:pPr>
    </w:p>
    <w:p w:rsidR="007D5397" w:rsidRDefault="007D5397">
      <w:pPr>
        <w:pStyle w:val="Piedepgina"/>
        <w:jc w:val="center"/>
        <w:rPr>
          <w:rFonts w:ascii="Arial" w:hAnsi="Arial" w:cs="Arial"/>
          <w:b/>
          <w:sz w:val="32"/>
          <w:szCs w:val="32"/>
        </w:rPr>
      </w:pPr>
    </w:p>
    <w:p w:rsidR="00067FA6" w:rsidRPr="00547CBA" w:rsidRDefault="00143202">
      <w:pPr>
        <w:pStyle w:val="Piedepgina"/>
        <w:jc w:val="center"/>
        <w:rPr>
          <w:b/>
          <w:sz w:val="28"/>
          <w:szCs w:val="28"/>
        </w:rPr>
      </w:pPr>
      <w:proofErr w:type="gramStart"/>
      <w:r w:rsidRPr="00547CBA">
        <w:rPr>
          <w:rFonts w:ascii="Arial" w:hAnsi="Arial" w:cs="Arial"/>
          <w:b/>
          <w:sz w:val="32"/>
          <w:szCs w:val="32"/>
        </w:rPr>
        <w:t>Hospital  Materno</w:t>
      </w:r>
      <w:proofErr w:type="gramEnd"/>
      <w:r w:rsidRPr="00547CBA">
        <w:rPr>
          <w:rFonts w:ascii="Arial" w:hAnsi="Arial" w:cs="Arial"/>
          <w:b/>
          <w:sz w:val="32"/>
          <w:szCs w:val="32"/>
        </w:rPr>
        <w:t xml:space="preserve"> Infantil </w:t>
      </w:r>
      <w:r w:rsidRPr="00547CBA">
        <w:rPr>
          <w:rFonts w:ascii="Arial" w:hAnsi="Arial" w:cs="Arial"/>
          <w:b/>
          <w:sz w:val="28"/>
          <w:szCs w:val="28"/>
        </w:rPr>
        <w:t>928 44 48 23</w:t>
      </w:r>
    </w:p>
    <w:p w:rsidR="00067FA6" w:rsidRPr="00547CBA" w:rsidRDefault="00143202">
      <w:pPr>
        <w:pStyle w:val="Piedepgina"/>
        <w:jc w:val="center"/>
        <w:rPr>
          <w:b/>
          <w:sz w:val="32"/>
          <w:szCs w:val="32"/>
          <w:lang w:val="en-US"/>
        </w:rPr>
      </w:pPr>
      <w:r w:rsidRPr="00547CBA">
        <w:rPr>
          <w:b/>
          <w:sz w:val="32"/>
          <w:szCs w:val="32"/>
        </w:rPr>
        <w:t xml:space="preserve"> </w:t>
      </w:r>
      <w:r w:rsidRPr="00547CBA">
        <w:rPr>
          <w:b/>
          <w:sz w:val="32"/>
          <w:szCs w:val="32"/>
          <w:lang w:val="en-US"/>
        </w:rPr>
        <w:t xml:space="preserve">Hospital Insular </w:t>
      </w:r>
      <w:r w:rsidRPr="00547CBA">
        <w:rPr>
          <w:b/>
          <w:sz w:val="28"/>
          <w:szCs w:val="28"/>
          <w:lang w:val="en-US"/>
        </w:rPr>
        <w:t>928 44 41 57</w:t>
      </w:r>
      <w:r w:rsidRPr="00547CBA">
        <w:rPr>
          <w:b/>
          <w:sz w:val="32"/>
          <w:szCs w:val="32"/>
          <w:lang w:val="en-US"/>
        </w:rPr>
        <w:t xml:space="preserve">   </w:t>
      </w:r>
    </w:p>
    <w:p w:rsidR="00067FA6" w:rsidRPr="00547CBA" w:rsidRDefault="00143202">
      <w:pPr>
        <w:pStyle w:val="Piedepgina"/>
        <w:jc w:val="center"/>
        <w:rPr>
          <w:sz w:val="28"/>
          <w:szCs w:val="28"/>
        </w:rPr>
      </w:pPr>
      <w:r w:rsidRPr="00547CBA">
        <w:rPr>
          <w:b/>
          <w:sz w:val="32"/>
          <w:szCs w:val="32"/>
          <w:lang w:val="en-US"/>
        </w:rPr>
        <w:t xml:space="preserve">Hospital Dr. </w:t>
      </w:r>
      <w:proofErr w:type="spellStart"/>
      <w:r w:rsidRPr="00547CBA">
        <w:rPr>
          <w:b/>
          <w:sz w:val="32"/>
          <w:szCs w:val="32"/>
          <w:lang w:val="en-US"/>
        </w:rPr>
        <w:t>Negrín</w:t>
      </w:r>
      <w:proofErr w:type="spellEnd"/>
      <w:r w:rsidRPr="00547CBA">
        <w:rPr>
          <w:b/>
          <w:sz w:val="32"/>
          <w:szCs w:val="32"/>
          <w:lang w:val="en-US"/>
        </w:rPr>
        <w:t xml:space="preserve"> </w:t>
      </w:r>
      <w:r w:rsidRPr="00547CBA">
        <w:rPr>
          <w:b/>
          <w:sz w:val="28"/>
          <w:szCs w:val="28"/>
          <w:lang w:val="en-US"/>
        </w:rPr>
        <w:t>928 44 90 37</w:t>
      </w:r>
    </w:p>
    <w:p w:rsidR="00067FA6" w:rsidRDefault="00067FA6">
      <w:pPr>
        <w:jc w:val="both"/>
        <w:rPr>
          <w:sz w:val="24"/>
          <w:szCs w:val="24"/>
        </w:rPr>
      </w:pPr>
    </w:p>
    <w:p w:rsidR="00143202" w:rsidRDefault="00143202">
      <w:pPr>
        <w:jc w:val="both"/>
        <w:rPr>
          <w:sz w:val="24"/>
          <w:szCs w:val="24"/>
        </w:rPr>
      </w:pPr>
    </w:p>
    <w:p w:rsidR="00143202" w:rsidRDefault="00143202">
      <w:pPr>
        <w:jc w:val="both"/>
        <w:rPr>
          <w:sz w:val="24"/>
          <w:szCs w:val="24"/>
        </w:rPr>
      </w:pPr>
    </w:p>
    <w:p w:rsidR="00143202" w:rsidRPr="00024AB6" w:rsidRDefault="00143202">
      <w:pPr>
        <w:jc w:val="both"/>
        <w:rPr>
          <w:color w:val="538135"/>
          <w:sz w:val="40"/>
          <w:szCs w:val="40"/>
        </w:rPr>
      </w:pPr>
      <w:r>
        <w:rPr>
          <w:sz w:val="40"/>
          <w:szCs w:val="40"/>
        </w:rPr>
        <w:t xml:space="preserve">                    </w:t>
      </w:r>
    </w:p>
    <w:p w:rsidR="00067FA6" w:rsidRDefault="00067FA6">
      <w:pPr>
        <w:ind w:left="105"/>
        <w:jc w:val="center"/>
      </w:pPr>
    </w:p>
    <w:sectPr w:rsidR="00067FA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567" w:left="156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482" w:rsidRDefault="00C17482">
      <w:r>
        <w:separator/>
      </w:r>
    </w:p>
  </w:endnote>
  <w:endnote w:type="continuationSeparator" w:id="0">
    <w:p w:rsidR="00C17482" w:rsidRDefault="00C1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FA6" w:rsidRDefault="00067F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FA6" w:rsidRDefault="00067F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FA6" w:rsidRDefault="00067F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482" w:rsidRDefault="00C17482">
      <w:r>
        <w:separator/>
      </w:r>
    </w:p>
  </w:footnote>
  <w:footnote w:type="continuationSeparator" w:id="0">
    <w:p w:rsidR="00C17482" w:rsidRDefault="00C17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FA6" w:rsidRDefault="00C17482">
    <w:pPr>
      <w:pStyle w:val="Encabezado"/>
      <w:ind w:left="-70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41.95pt;margin-top:-8.9pt;width:342.15pt;height:117.15pt;z-index:1;mso-wrap-distance-left:9.05pt;mso-wrap-distance-right:9.05pt;mso-position-horizontal:absolute;mso-position-horizontal-relative:text;mso-position-vertical:absolute;mso-position-vertical-relative:text" strokeweight=".5pt">
          <v:fill color2="black"/>
          <v:textbox inset="7.45pt,3.85pt,7.45pt,3.85pt">
            <w:txbxContent>
              <w:p w:rsidR="00067FA6" w:rsidRDefault="00143202">
                <w:pPr>
                  <w:pBdr>
                    <w:top w:val="single" w:sz="4" w:space="1" w:color="000000" w:shadow="1"/>
                    <w:left w:val="single" w:sz="4" w:space="4" w:color="000000" w:shadow="1"/>
                    <w:bottom w:val="single" w:sz="4" w:space="1" w:color="000000" w:shadow="1"/>
                    <w:right w:val="single" w:sz="4" w:space="4" w:color="000000" w:shadow="1"/>
                  </w:pBdr>
                  <w:spacing w:before="120"/>
                  <w:jc w:val="center"/>
                  <w:rPr>
                    <w:rFonts w:ascii="Century Gothic" w:hAnsi="Century Gothic" w:cs="Century Gothic"/>
                    <w:b/>
                    <w:sz w:val="28"/>
                    <w:szCs w:val="28"/>
                    <w:lang w:val="es-SV"/>
                  </w:rPr>
                </w:pPr>
                <w:r>
                  <w:rPr>
                    <w:rFonts w:ascii="Impact" w:hAnsi="Impact" w:cs="Impact"/>
                    <w:b/>
                    <w:sz w:val="44"/>
                    <w:szCs w:val="44"/>
                    <w:u w:val="single"/>
                    <w:lang w:val="es-SV"/>
                  </w:rPr>
                  <w:t>INTERSINDICAL CANARIA</w:t>
                </w:r>
                <w:r>
                  <w:rPr>
                    <w:rFonts w:ascii="Century Gothic" w:hAnsi="Century Gothic" w:cs="Century Gothic"/>
                    <w:b/>
                    <w:sz w:val="44"/>
                    <w:szCs w:val="44"/>
                    <w:u w:val="single"/>
                    <w:lang w:val="es-SV"/>
                  </w:rPr>
                  <w:t xml:space="preserve"> </w:t>
                </w:r>
              </w:p>
              <w:p w:rsidR="00067FA6" w:rsidRDefault="00143202">
                <w:pPr>
                  <w:pBdr>
                    <w:top w:val="single" w:sz="4" w:space="1" w:color="000000" w:shadow="1"/>
                    <w:left w:val="single" w:sz="4" w:space="4" w:color="000000" w:shadow="1"/>
                    <w:bottom w:val="single" w:sz="4" w:space="1" w:color="000000" w:shadow="1"/>
                    <w:right w:val="single" w:sz="4" w:space="4" w:color="000000" w:shadow="1"/>
                  </w:pBdr>
                  <w:spacing w:before="120"/>
                  <w:jc w:val="center"/>
                  <w:rPr>
                    <w:rFonts w:ascii="Century Gothic" w:hAnsi="Century Gothic" w:cs="Century Gothic"/>
                    <w:b/>
                    <w:sz w:val="44"/>
                    <w:szCs w:val="44"/>
                    <w:u w:val="single"/>
                    <w:lang w:val="es-SV"/>
                  </w:rPr>
                </w:pPr>
                <w:r>
                  <w:rPr>
                    <w:rFonts w:ascii="Century Gothic" w:hAnsi="Century Gothic" w:cs="Century Gothic"/>
                    <w:b/>
                    <w:sz w:val="28"/>
                    <w:szCs w:val="28"/>
                    <w:lang w:val="es-SV"/>
                  </w:rPr>
                  <w:t>Federación de</w:t>
                </w:r>
                <w:r>
                  <w:rPr>
                    <w:rFonts w:ascii="Century Gothic" w:hAnsi="Century Gothic" w:cs="Century Gothic"/>
                    <w:b/>
                    <w:sz w:val="44"/>
                    <w:szCs w:val="44"/>
                    <w:lang w:val="es-SV"/>
                  </w:rPr>
                  <w:t xml:space="preserve"> </w:t>
                </w:r>
                <w:r>
                  <w:rPr>
                    <w:rFonts w:ascii="Century Gothic" w:hAnsi="Century Gothic" w:cs="Century Gothic"/>
                    <w:b/>
                    <w:sz w:val="28"/>
                    <w:szCs w:val="28"/>
                    <w:lang w:val="es-SV"/>
                  </w:rPr>
                  <w:t>Salud</w:t>
                </w:r>
                <w:r>
                  <w:rPr>
                    <w:rFonts w:ascii="Century Gothic" w:hAnsi="Century Gothic" w:cs="Century Gothic"/>
                    <w:b/>
                    <w:sz w:val="44"/>
                    <w:szCs w:val="44"/>
                    <w:u w:val="single"/>
                    <w:lang w:val="es-SV"/>
                  </w:rPr>
                  <w:t xml:space="preserve"> </w:t>
                </w:r>
              </w:p>
              <w:p w:rsidR="00067FA6" w:rsidRDefault="00143202">
                <w:pPr>
                  <w:pBdr>
                    <w:top w:val="single" w:sz="4" w:space="1" w:color="000000" w:shadow="1"/>
                    <w:left w:val="single" w:sz="4" w:space="4" w:color="000000" w:shadow="1"/>
                    <w:bottom w:val="single" w:sz="4" w:space="1" w:color="000000" w:shadow="1"/>
                    <w:right w:val="single" w:sz="4" w:space="4" w:color="000000" w:shadow="1"/>
                  </w:pBdr>
                  <w:spacing w:before="120"/>
                  <w:jc w:val="center"/>
                </w:pPr>
                <w:r>
                  <w:rPr>
                    <w:rFonts w:ascii="Century Gothic" w:hAnsi="Century Gothic" w:cs="Century Gothic"/>
                    <w:b/>
                    <w:sz w:val="44"/>
                    <w:szCs w:val="44"/>
                    <w:u w:val="single"/>
                    <w:lang w:val="es-SV"/>
                  </w:rPr>
                  <w:t>INFORMA OPE 2007</w:t>
                </w:r>
              </w:p>
              <w:p w:rsidR="00067FA6" w:rsidRDefault="00067FA6"/>
            </w:txbxContent>
          </v:textbox>
          <w10:wrap type="squar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.1pt;margin-top:6.1pt;width:74.5pt;height:105pt;z-index:2;mso-wrap-distance-left:0;mso-wrap-distance-right:0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  <w:r w:rsidR="0014320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FA6" w:rsidRDefault="00067F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414.75pt;height:375.7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824"/>
        </w:tabs>
        <w:ind w:left="82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84"/>
        </w:tabs>
        <w:ind w:left="118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4"/>
        </w:tabs>
        <w:ind w:left="154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4"/>
        </w:tabs>
        <w:ind w:left="190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4"/>
        </w:tabs>
        <w:ind w:left="226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4"/>
        </w:tabs>
        <w:ind w:left="262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4"/>
        </w:tabs>
        <w:ind w:left="334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4"/>
        </w:tabs>
        <w:ind w:left="3704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202"/>
    <w:rsid w:val="00024AB6"/>
    <w:rsid w:val="00067FA6"/>
    <w:rsid w:val="00143202"/>
    <w:rsid w:val="00547CBA"/>
    <w:rsid w:val="007D5397"/>
    <w:rsid w:val="00AA0D6B"/>
    <w:rsid w:val="00C17482"/>
    <w:rsid w:val="00E853A9"/>
    <w:rsid w:val="00FE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20462436"/>
  <w15:chartTrackingRefBased/>
  <w15:docId w15:val="{9F7B2B5A-6955-4A41-AA3E-20609EDD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he-IL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hAnsi="Wingdings 2" w:cs="Wingdings 2" w:hint="default"/>
      <w:color w:val="FF00FF"/>
    </w:rPr>
  </w:style>
  <w:style w:type="character" w:customStyle="1" w:styleId="WW8Num4z1">
    <w:name w:val="WW8Num4z1"/>
    <w:rPr>
      <w:rFonts w:ascii="Wingdings 3" w:hAnsi="Wingdings 3" w:cs="Times New Roman" w:hint="default"/>
      <w:color w:val="CC0000"/>
      <w:sz w:val="24"/>
      <w:szCs w:val="24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color w:val="auto"/>
    </w:rPr>
  </w:style>
  <w:style w:type="character" w:customStyle="1" w:styleId="WW8Num7z1">
    <w:name w:val="WW8Num7z1"/>
    <w:rPr>
      <w:rFonts w:ascii="Courier New" w:hAnsi="Courier New" w:cs="Courier New" w:hint="default"/>
      <w:color w:val="auto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i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7z0">
    <w:name w:val="WW8Num17z0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eastAsia="Times New Roman" w:hAnsi="Symbol" w:cs="Aria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color w:val="auto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  <w:color w:val="auto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  <w:color w:val="auto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color w:val="auto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  <w:color w:val="auto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 2" w:hAnsi="Wingdings 2" w:cs="Wingdings 2" w:hint="default"/>
      <w:color w:val="FF00FF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  <w:color w:val="auto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eastAsia="Times New Roman" w:hAnsi="Symbol" w:cs="Times New Roman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CarCar1">
    <w:name w:val="Car Car1"/>
    <w:rPr>
      <w:lang w:val="es-ES" w:eastAsia="he-IL" w:bidi="he-IL"/>
    </w:rPr>
  </w:style>
  <w:style w:type="character" w:styleId="Textoennegrita">
    <w:name w:val="Strong"/>
    <w:qFormat/>
    <w:rPr>
      <w:b/>
      <w:bCs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Pr>
      <w:rFonts w:ascii="Arial" w:hAnsi="Arial" w:cs="Arial"/>
      <w:sz w:val="18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Textosinformato1">
    <w:name w:val="Texto sin formato1"/>
    <w:basedOn w:val="Normal"/>
    <w:rPr>
      <w:rFonts w:ascii="Courier New" w:hAnsi="Courier New" w:cs="Courier New"/>
      <w:lang w:eastAsia="ar-SA" w:bidi="ar-SA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  <w:lang w:eastAsia="ar-SA" w:bidi="ar-SA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ar-SA" w:bidi="ar-SA"/>
    </w:rPr>
  </w:style>
  <w:style w:type="paragraph" w:customStyle="1" w:styleId="textolegal">
    <w:name w:val="textolegal"/>
    <w:basedOn w:val="Normal"/>
    <w:pPr>
      <w:spacing w:before="100" w:after="100"/>
      <w:jc w:val="both"/>
    </w:pPr>
    <w:rPr>
      <w:rFonts w:ascii="Verdana" w:hAnsi="Verdana" w:cs="Verdana"/>
      <w:sz w:val="18"/>
      <w:szCs w:val="18"/>
      <w:lang w:eastAsia="ar-SA" w:bidi="ar-SA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</w:style>
  <w:style w:type="character" w:styleId="Mencinsinresolver">
    <w:name w:val="Unresolved Mention"/>
    <w:uiPriority w:val="99"/>
    <w:semiHidden/>
    <w:unhideWhenUsed/>
    <w:rsid w:val="00547CB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sindicalsalud.org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3.gobiernodecanarias.org/sanidad/scs/content/5eb4cfe1-6880-11e7-9c83-97a5ebed2fed/Resoluci&#243;n%20Con%2BNotas_14072017.pdf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INTERSINDICAL\CARTA%20-%20FE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- FED</Template>
  <TotalTime>9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Canarias, 30 de noviembre de 2001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Canarias, 30 de noviembre de 2001</dc:title>
  <dc:subject/>
  <dc:creator>Intersindical Canaria Salud SCS</dc:creator>
  <cp:keywords/>
  <cp:lastModifiedBy>bernardo</cp:lastModifiedBy>
  <cp:revision>4</cp:revision>
  <cp:lastPrinted>2016-11-29T13:45:00Z</cp:lastPrinted>
  <dcterms:created xsi:type="dcterms:W3CDTF">2017-07-14T12:49:00Z</dcterms:created>
  <dcterms:modified xsi:type="dcterms:W3CDTF">2017-07-14T12:58:00Z</dcterms:modified>
</cp:coreProperties>
</file>