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100" w:after="100" w:line="240"/>
        <w:ind w:right="0" w:left="0" w:firstLine="0"/>
        <w:jc w:val="both"/>
        <w:rPr>
          <w:rFonts w:ascii="Times New Roman" w:hAnsi="Times New Roman" w:cs="Times New Roman" w:eastAsia="Times New Roman"/>
          <w:color w:val="000000"/>
          <w:spacing w:val="0"/>
          <w:position w:val="0"/>
          <w:sz w:val="24"/>
          <w:shd w:fill="auto" w:val="clear"/>
        </w:rPr>
      </w:pPr>
      <w:r>
        <w:object w:dxaOrig="1425" w:dyaOrig="1450">
          <v:rect xmlns:o="urn:schemas-microsoft-com:office:office" xmlns:v="urn:schemas-microsoft-com:vml" id="rectole0000000000" style="width:71.250000pt;height:72.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1933" w:dyaOrig="1368">
          <v:rect xmlns:o="urn:schemas-microsoft-com:office:office" xmlns:v="urn:schemas-microsoft-com:vml" id="rectole0000000001" style="width:96.650000pt;height:68.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0" w:after="0" w:line="276"/>
        <w:ind w:right="0" w:left="0" w:firstLine="0"/>
        <w:jc w:val="both"/>
        <w:rPr>
          <w:rFonts w:ascii="Times New Roman" w:hAnsi="Times New Roman" w:cs="Times New Roman" w:eastAsia="Times New Roman"/>
          <w:b/>
          <w:color w:val="000000"/>
          <w:spacing w:val="0"/>
          <w:position w:val="0"/>
          <w:sz w:val="3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32"/>
          <w:shd w:fill="auto" w:val="clear"/>
        </w:rPr>
      </w:pPr>
    </w:p>
    <w:p>
      <w:pPr>
        <w:spacing w:before="0" w:after="0" w:line="240"/>
        <w:ind w:right="0" w:left="0" w:firstLine="0"/>
        <w:jc w:val="center"/>
        <w:rPr>
          <w:rFonts w:ascii="Arial" w:hAnsi="Arial" w:cs="Arial" w:eastAsia="Arial"/>
          <w:b/>
          <w:color w:val="FF0000"/>
          <w:spacing w:val="0"/>
          <w:position w:val="0"/>
          <w:sz w:val="48"/>
          <w:u w:val="single"/>
          <w:shd w:fill="auto" w:val="clear"/>
        </w:rPr>
      </w:pPr>
    </w:p>
    <w:p>
      <w:pPr>
        <w:spacing w:before="0" w:after="0" w:line="240"/>
        <w:ind w:right="0" w:left="0" w:firstLine="0"/>
        <w:jc w:val="center"/>
        <w:rPr>
          <w:rFonts w:ascii="Arial" w:hAnsi="Arial" w:cs="Arial" w:eastAsia="Arial"/>
          <w:b/>
          <w:color w:val="FF0000"/>
          <w:spacing w:val="0"/>
          <w:position w:val="0"/>
          <w:sz w:val="48"/>
          <w:u w:val="single"/>
          <w:shd w:fill="auto" w:val="clear"/>
        </w:rPr>
      </w:pPr>
    </w:p>
    <w:p>
      <w:pPr>
        <w:spacing w:before="0" w:after="0" w:line="240"/>
        <w:ind w:right="0" w:left="0" w:firstLine="0"/>
        <w:jc w:val="center"/>
        <w:rPr>
          <w:rFonts w:ascii="Arial" w:hAnsi="Arial" w:cs="Arial" w:eastAsia="Arial"/>
          <w:b/>
          <w:color w:val="FF0000"/>
          <w:spacing w:val="0"/>
          <w:position w:val="0"/>
          <w:sz w:val="48"/>
          <w:u w:val="single"/>
          <w:shd w:fill="auto" w:val="clear"/>
        </w:rPr>
      </w:pPr>
      <w:r>
        <w:rPr>
          <w:rFonts w:ascii="Arial" w:hAnsi="Arial" w:cs="Arial" w:eastAsia="Arial"/>
          <w:b/>
          <w:color w:val="FF0000"/>
          <w:spacing w:val="0"/>
          <w:position w:val="0"/>
          <w:sz w:val="48"/>
          <w:u w:val="single"/>
          <w:shd w:fill="auto" w:val="clear"/>
        </w:rPr>
        <w:t xml:space="preserve">AYUDAS DE ACCION SOCIAL 2018</w:t>
      </w:r>
    </w:p>
    <w:p>
      <w:pPr>
        <w:spacing w:before="0" w:after="0" w:line="240"/>
        <w:ind w:right="0" w:left="0" w:firstLine="0"/>
        <w:jc w:val="left"/>
        <w:rPr>
          <w:rFonts w:ascii="Times New Roman" w:hAnsi="Times New Roman" w:cs="Times New Roman" w:eastAsia="Times New Roman"/>
          <w:color w:val="FF0000"/>
          <w:spacing w:val="0"/>
          <w:position w:val="0"/>
          <w:sz w:val="18"/>
          <w:u w:val="single"/>
          <w:shd w:fill="auto" w:val="clear"/>
        </w:rPr>
      </w:pPr>
    </w:p>
    <w:p>
      <w:pPr>
        <w:spacing w:before="0" w:after="0" w:line="240"/>
        <w:ind w:right="0" w:left="0" w:firstLine="0"/>
        <w:jc w:val="left"/>
        <w:rPr>
          <w:rFonts w:ascii="Times New Roman" w:hAnsi="Times New Roman" w:cs="Times New Roman" w:eastAsia="Times New Roman"/>
          <w:i/>
          <w:color w:val="FF0000"/>
          <w:spacing w:val="0"/>
          <w:position w:val="0"/>
          <w:sz w:val="18"/>
          <w:u w:val="single"/>
          <w:shd w:fill="auto" w:val="clear"/>
        </w:rPr>
      </w:pPr>
    </w:p>
    <w:p>
      <w:pPr>
        <w:spacing w:before="0" w:after="0" w:line="240"/>
        <w:ind w:right="0" w:left="0" w:firstLine="0"/>
        <w:jc w:val="left"/>
        <w:rPr>
          <w:rFonts w:ascii="Times New Roman" w:hAnsi="Times New Roman" w:cs="Times New Roman" w:eastAsia="Times New Roman"/>
          <w:i/>
          <w:color w:val="FF0000"/>
          <w:spacing w:val="0"/>
          <w:position w:val="0"/>
          <w:sz w:val="18"/>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8"/>
          <w:shd w:fill="auto" w:val="clear"/>
        </w:rPr>
      </w:pPr>
    </w:p>
    <w:p>
      <w:pPr>
        <w:spacing w:before="0" w:after="0" w:line="240"/>
        <w:ind w:right="0" w:left="0" w:firstLine="708"/>
        <w:jc w:val="both"/>
        <w:rPr>
          <w:rFonts w:ascii="Arial" w:hAnsi="Arial" w:cs="Arial" w:eastAsia="Arial"/>
          <w:b/>
          <w:color w:val="auto"/>
          <w:spacing w:val="0"/>
          <w:position w:val="0"/>
          <w:sz w:val="24"/>
          <w:shd w:fill="auto" w:val="clear"/>
        </w:rPr>
      </w:pPr>
      <w:r>
        <w:rPr>
          <w:rFonts w:ascii="Arial" w:hAnsi="Arial" w:cs="Arial" w:eastAsia="Arial"/>
          <w:color w:val="auto"/>
          <w:spacing w:val="0"/>
          <w:position w:val="0"/>
          <w:sz w:val="24"/>
          <w:shd w:fill="auto" w:val="clear"/>
        </w:rPr>
        <w:t xml:space="preserve">Tal y como adelantamos, el  Gobierno de Canarias no supo desbloquear el impedimento de la normativa para que los 3 millones de € destinados en la Ley de Presupuestos al abono  de ayudas de Acción Social en el año 2018 fueran concedidos a los trabajadores que más lo necesitan, por lo que han optado por el reparto lineal de dicha cantidad entre el conjunto de empleados públicos de la Comunidad Autónoma en el concepto  de „Ayuda de Acción Social para la Conciliación de la Vida  Personal, Familiar y Laboral“, publicado en el BOC nº 218  de 12 de noviembre y según las cantidades que a continuación se detallan:</w:t>
      </w:r>
    </w:p>
    <w:p>
      <w:pPr>
        <w:spacing w:before="0" w:after="0" w:line="240"/>
        <w:ind w:right="0" w:left="0" w:firstLine="0"/>
        <w:jc w:val="both"/>
        <w:rPr>
          <w:rFonts w:ascii="Arial" w:hAnsi="Arial" w:cs="Arial" w:eastAsia="Arial"/>
          <w:b/>
          <w:color w:val="auto"/>
          <w:spacing w:val="0"/>
          <w:position w:val="0"/>
          <w:sz w:val="24"/>
          <w:shd w:fill="auto" w:val="clear"/>
        </w:rPr>
      </w:pPr>
    </w:p>
    <w:p>
      <w:pPr>
        <w:spacing w:before="0" w:after="0" w:line="240"/>
        <w:ind w:right="0" w:left="0" w:firstLine="0"/>
        <w:jc w:val="both"/>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w:t>
      </w:r>
    </w:p>
    <w:tbl>
      <w:tblPr>
        <w:tblInd w:w="2403" w:type="dxa"/>
      </w:tblPr>
      <w:tblGrid>
        <w:gridCol w:w="1843"/>
        <w:gridCol w:w="2977"/>
      </w:tblGrid>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Grupo</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Importe a cobrar</w:t>
            </w:r>
          </w:p>
        </w:tc>
      </w:tr>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A1/I</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28 euros</w:t>
            </w:r>
          </w:p>
        </w:tc>
      </w:tr>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A2/II   </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38 euros</w:t>
            </w:r>
          </w:p>
        </w:tc>
      </w:tr>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C1/III</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48 euros</w:t>
            </w:r>
          </w:p>
        </w:tc>
      </w:tr>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C2/ IV</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58 euros</w:t>
            </w:r>
          </w:p>
        </w:tc>
      </w:tr>
      <w:tr>
        <w:trPr>
          <w:trHeight w:val="1" w:hRule="atLeast"/>
          <w:jc w:val="left"/>
        </w:trPr>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E/ V</w:t>
            </w:r>
          </w:p>
        </w:tc>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4"/>
                <w:shd w:fill="auto" w:val="clear"/>
              </w:rPr>
              <w:t xml:space="preserve">                    68 euros</w:t>
            </w:r>
          </w:p>
        </w:tc>
      </w:tr>
    </w:tbl>
    <w:p>
      <w:pPr>
        <w:spacing w:before="0" w:after="0" w:line="240"/>
        <w:ind w:right="0" w:left="0" w:firstLine="0"/>
        <w:jc w:val="both"/>
        <w:rPr>
          <w:rFonts w:ascii="Arial" w:hAnsi="Arial" w:cs="Arial" w:eastAsia="Arial"/>
          <w:i/>
          <w:color w:val="auto"/>
          <w:spacing w:val="0"/>
          <w:position w:val="0"/>
          <w:sz w:val="24"/>
          <w:shd w:fill="auto" w:val="clear"/>
        </w:rPr>
      </w:pPr>
    </w:p>
    <w:p>
      <w:pPr>
        <w:spacing w:before="0" w:after="0" w:line="240"/>
        <w:ind w:right="0" w:left="0" w:firstLine="0"/>
        <w:jc w:val="both"/>
        <w:rPr>
          <w:rFonts w:ascii="Arial" w:hAnsi="Arial" w:cs="Arial" w:eastAsia="Arial"/>
          <w:i/>
          <w:color w:val="auto"/>
          <w:spacing w:val="0"/>
          <w:position w:val="0"/>
          <w:sz w:val="24"/>
          <w:shd w:fill="auto" w:val="clear"/>
        </w:rPr>
      </w:pPr>
    </w:p>
    <w:p>
      <w:pPr>
        <w:spacing w:before="0" w:after="0" w:line="240"/>
        <w:ind w:right="0" w:left="0" w:firstLine="0"/>
        <w:jc w:val="both"/>
        <w:rPr>
          <w:rFonts w:ascii="Arial" w:hAnsi="Arial" w:cs="Arial" w:eastAsia="Arial"/>
          <w:b/>
          <w:color w:val="auto"/>
          <w:spacing w:val="0"/>
          <w:position w:val="0"/>
          <w:sz w:val="24"/>
          <w:shd w:fill="auto" w:val="clear"/>
        </w:rPr>
      </w:pPr>
      <w:r>
        <w:rPr>
          <w:rFonts w:ascii="Arial" w:hAnsi="Arial" w:cs="Arial" w:eastAsia="Arial"/>
          <w:color w:val="auto"/>
          <w:spacing w:val="0"/>
          <w:position w:val="0"/>
          <w:sz w:val="24"/>
          <w:shd w:fill="auto" w:val="clear"/>
        </w:rPr>
        <w:t xml:space="preserve"> </w:t>
        <w:tab/>
        <w:t xml:space="preserve">Debes consultar el listado en la intranet de la Gerencia. A todo el personal en activo, se le abonará de oficio antes del 31 de diciembre, en caso de que no te veas reflejado en dicho listado, </w:t>
      </w:r>
      <w:r>
        <w:rPr>
          <w:rFonts w:ascii="Arial" w:hAnsi="Arial" w:cs="Arial" w:eastAsia="Arial"/>
          <w:color w:val="auto"/>
          <w:spacing w:val="0"/>
          <w:position w:val="0"/>
          <w:sz w:val="24"/>
          <w:u w:val="single"/>
          <w:shd w:fill="auto" w:val="clear"/>
        </w:rPr>
        <w:t xml:space="preserve">el plazo de presentación de reclamación es de diez días a partir de la publicación de dicho listado. </w:t>
      </w:r>
      <w:r>
        <w:rPr>
          <w:rFonts w:ascii="Arial" w:hAnsi="Arial" w:cs="Arial" w:eastAsia="Arial"/>
          <w:color w:val="auto"/>
          <w:spacing w:val="0"/>
          <w:position w:val="0"/>
          <w:sz w:val="24"/>
          <w:shd w:fill="auto" w:val="clear"/>
        </w:rPr>
        <w:t xml:space="preserve">Deben solicitarlo los trabajadores no activos (Jubilados, en situación de Servicios Especiales, excedencia voluntaria por cuidado de hijos y otros familiares hasta segundo grado de consanguinidad en caso de fallecimiento).</w:t>
      </w:r>
    </w:p>
    <w:p>
      <w:pPr>
        <w:spacing w:before="0" w:after="0" w:line="276"/>
        <w:ind w:right="0" w:left="0" w:firstLine="0"/>
        <w:jc w:val="both"/>
        <w:rPr>
          <w:rFonts w:ascii="Times New Roman" w:hAnsi="Times New Roman" w:cs="Times New Roman" w:eastAsia="Times New Roman"/>
          <w:b/>
          <w:color w:val="000000"/>
          <w:spacing w:val="0"/>
          <w:position w:val="0"/>
          <w:sz w:val="32"/>
          <w:shd w:fill="auto" w:val="clear"/>
        </w:rPr>
      </w:pPr>
    </w:p>
    <w:p>
      <w:pPr>
        <w:spacing w:before="0" w:after="0" w:line="240"/>
        <w:ind w:right="0" w:left="0" w:firstLine="708"/>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Canarias, 22 de Noviembre de 2018.</w:t>
      </w:r>
    </w:p>
    <w:p>
      <w:pPr>
        <w:spacing w:before="0" w:after="0" w:line="276"/>
        <w:ind w:right="0" w:left="0" w:firstLine="0"/>
        <w:jc w:val="both"/>
        <w:rPr>
          <w:rFonts w:ascii="Arial" w:hAnsi="Arial" w:cs="Arial" w:eastAsia="Arial"/>
          <w:color w:val="000000"/>
          <w:spacing w:val="0"/>
          <w:position w:val="0"/>
          <w:sz w:val="24"/>
          <w:shd w:fill="auto" w:val="clear"/>
        </w:rPr>
      </w:pPr>
    </w:p>
    <w:p>
      <w:pPr>
        <w:spacing w:before="0" w:after="0" w:line="276"/>
        <w:ind w:right="0" w:left="0" w:firstLine="708"/>
        <w:jc w:val="both"/>
        <w:rPr>
          <w:rFonts w:ascii="Arial" w:hAnsi="Arial" w:cs="Arial" w:eastAsia="Arial"/>
          <w:color w:val="000000"/>
          <w:spacing w:val="0"/>
          <w:position w:val="0"/>
          <w:sz w:val="24"/>
          <w:shd w:fill="auto" w:val="clear"/>
        </w:rPr>
      </w:pPr>
    </w:p>
    <w:p>
      <w:pPr>
        <w:spacing w:before="0" w:after="0" w:line="276"/>
        <w:ind w:right="0" w:left="0" w:firstLine="0"/>
        <w:jc w:val="both"/>
        <w:rPr>
          <w:rFonts w:ascii="Arial" w:hAnsi="Arial" w:cs="Arial" w:eastAsia="Arial"/>
          <w:color w:val="000000"/>
          <w:spacing w:val="0"/>
          <w:position w:val="0"/>
          <w:sz w:val="24"/>
          <w:shd w:fill="auto" w:val="clear"/>
        </w:rPr>
      </w:pPr>
    </w:p>
    <w:p>
      <w:pPr>
        <w:spacing w:before="0" w:after="0" w:line="276"/>
        <w:ind w:right="0" w:left="0" w:firstLine="708"/>
        <w:jc w:val="center"/>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Federación Nacional de Salud</w:t>
      </w:r>
    </w:p>
    <w:p>
      <w:pPr>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76"/>
        <w:ind w:right="0" w:left="0" w:firstLine="708"/>
        <w:jc w:val="both"/>
        <w:rPr>
          <w:rFonts w:ascii="Times New Roman" w:hAnsi="Times New Roman" w:cs="Times New Roman" w:eastAsia="Times New Roman"/>
          <w:color w:val="000000"/>
          <w:spacing w:val="0"/>
          <w:position w:val="0"/>
          <w:sz w:val="28"/>
          <w:shd w:fill="auto" w:val="clear"/>
        </w:rPr>
      </w:pPr>
    </w:p>
    <w:p>
      <w:pPr>
        <w:spacing w:before="0" w:after="0" w:line="276"/>
        <w:ind w:right="0" w:left="0" w:firstLine="0"/>
        <w:jc w:val="center"/>
        <w:rPr>
          <w:rFonts w:ascii="Calibri" w:hAnsi="Calibri" w:cs="Calibri" w:eastAsia="Calibri"/>
          <w:color w:val="000000"/>
          <w:spacing w:val="0"/>
          <w:position w:val="0"/>
          <w:sz w:val="22"/>
          <w:shd w:fill="auto" w:val="clear"/>
        </w:rPr>
      </w:pPr>
      <w:r>
        <w:object w:dxaOrig="9790" w:dyaOrig="590">
          <v:rect xmlns:o="urn:schemas-microsoft-com:office:office" xmlns:v="urn:schemas-microsoft-com:vml" id="rectole0000000002" style="width:489.500000pt;height:29.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i/>
          <w:color w:val="000000"/>
          <w:spacing w:val="0"/>
          <w:position w:val="0"/>
          <w:sz w:val="18"/>
          <w:shd w:fill="auto" w:val="clear"/>
        </w:rPr>
        <w:t xml:space="preserve">- Organización No Gubernamental para la protección de los derechos de los trabajadores y usuarios de la Sanidad Canaria-</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